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C58F8">
      <w:pPr>
        <w:jc w:val="center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bidi="ar-SA"/>
        </w:rPr>
        <w:t>经济贡献度指标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eastAsia="zh-CN" w:bidi="ar-SA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 w:bidi="ar-SA"/>
        </w:rPr>
        <w:t>更正后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eastAsia="zh-CN" w:bidi="ar-SA"/>
        </w:rPr>
        <w:t>）</w:t>
      </w:r>
    </w:p>
    <w:tbl>
      <w:tblPr>
        <w:tblStyle w:val="4"/>
        <w:tblW w:w="9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43"/>
        <w:gridCol w:w="7449"/>
      </w:tblGrid>
      <w:tr w14:paraId="5CCC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75" w:type="dxa"/>
            <w:noWrap w:val="0"/>
            <w:vAlign w:val="center"/>
          </w:tcPr>
          <w:p w14:paraId="650EC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-SA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 w14:paraId="6DEB2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-SA"/>
              </w:rPr>
              <w:t>评分项</w:t>
            </w:r>
          </w:p>
        </w:tc>
        <w:tc>
          <w:tcPr>
            <w:tcW w:w="7449" w:type="dxa"/>
            <w:noWrap w:val="0"/>
            <w:vAlign w:val="center"/>
          </w:tcPr>
          <w:p w14:paraId="5087B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-SA"/>
              </w:rPr>
              <w:t>评分细则</w:t>
            </w:r>
          </w:p>
        </w:tc>
      </w:tr>
      <w:tr w14:paraId="280C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 w14:paraId="6DDAB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-SA"/>
              </w:rPr>
              <w:t>3</w:t>
            </w:r>
          </w:p>
        </w:tc>
        <w:tc>
          <w:tcPr>
            <w:tcW w:w="9292" w:type="dxa"/>
            <w:gridSpan w:val="2"/>
            <w:noWrap w:val="0"/>
            <w:vAlign w:val="center"/>
          </w:tcPr>
          <w:p w14:paraId="7D789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bidi="ar-SA"/>
              </w:rPr>
              <w:t>经济贡献度指标（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 w:bidi="ar-SA"/>
              </w:rPr>
              <w:t>32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bidi="ar-SA"/>
              </w:rPr>
              <w:t>分）</w:t>
            </w:r>
          </w:p>
        </w:tc>
      </w:tr>
      <w:tr w14:paraId="2DD3F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75" w:type="dxa"/>
            <w:noWrap w:val="0"/>
            <w:vAlign w:val="center"/>
          </w:tcPr>
          <w:p w14:paraId="147ED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  <w:t>3.1</w:t>
            </w:r>
          </w:p>
        </w:tc>
        <w:tc>
          <w:tcPr>
            <w:tcW w:w="1843" w:type="dxa"/>
            <w:noWrap w:val="0"/>
            <w:vAlign w:val="center"/>
          </w:tcPr>
          <w:p w14:paraId="18676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综合考核结果</w:t>
            </w:r>
          </w:p>
          <w:p w14:paraId="7F16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分）</w:t>
            </w:r>
          </w:p>
        </w:tc>
        <w:tc>
          <w:tcPr>
            <w:tcW w:w="7449" w:type="dxa"/>
            <w:noWrap w:val="0"/>
            <w:vAlign w:val="center"/>
          </w:tcPr>
          <w:p w14:paraId="2A4707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rightChars="0" w:firstLine="0" w:firstLineChars="0"/>
              <w:textAlignment w:val="auto"/>
              <w:rPr>
                <w:rFonts w:hint="eastAsia" w:ascii="新宋体" w:hAnsi="新宋体" w:eastAsia="新宋体" w:cs="新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根据温州湾新区、龙湾区上年度（2025年度）金融机构综合考核结果，综合一等奖8分，综合二等奖5分，综合三等奖2</w:t>
            </w:r>
            <w:bookmarkStart w:id="0" w:name="_GoBack"/>
            <w:bookmarkEnd w:id="0"/>
            <w:r>
              <w:rPr>
                <w:rFonts w:hint="eastAsia" w:ascii="新宋体" w:hAnsi="新宋体" w:eastAsia="新宋体" w:cs="新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分。</w:t>
            </w:r>
          </w:p>
          <w:p w14:paraId="32F0D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注：以区金融服务中心提供的数据为评分依据，本项数据由招标人提供。</w:t>
            </w:r>
          </w:p>
        </w:tc>
      </w:tr>
      <w:tr w14:paraId="25CF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75" w:type="dxa"/>
            <w:noWrap w:val="0"/>
            <w:vAlign w:val="center"/>
          </w:tcPr>
          <w:p w14:paraId="0B6F3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-SA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43" w:type="dxa"/>
            <w:noWrap w:val="0"/>
            <w:vAlign w:val="center"/>
          </w:tcPr>
          <w:p w14:paraId="5AF5D5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金融两项收入同比增速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  <w:t>分）</w:t>
            </w:r>
          </w:p>
        </w:tc>
        <w:tc>
          <w:tcPr>
            <w:tcW w:w="7449" w:type="dxa"/>
            <w:noWrap w:val="0"/>
            <w:vAlign w:val="center"/>
          </w:tcPr>
          <w:p w14:paraId="686D0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auto"/>
              <w:rPr>
                <w:rFonts w:hint="eastAsia" w:ascii="新宋体" w:hAnsi="新宋体" w:eastAsia="新宋体" w:cs="新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以投标银行“2025年末利息净收入+手续费及佣金净收入”的增速（即（2025年两项收入合计−2024年两项收入合计）÷2024年两项收入合计×100%）为依据，</w:t>
            </w:r>
            <w:r>
              <w:rPr>
                <w:rFonts w:hint="eastAsia" w:ascii="新宋体" w:hAnsi="新宋体" w:eastAsia="新宋体" w:cs="新宋体"/>
                <w:color w:val="auto"/>
                <w:sz w:val="22"/>
                <w:szCs w:val="22"/>
                <w:lang w:val="en-US" w:eastAsia="zh-CN"/>
              </w:rPr>
              <w:t>第一名得8分，其余投标银行排名每降低一名相应递减0.1分，减至0分为止。</w:t>
            </w:r>
          </w:p>
          <w:p w14:paraId="4727A843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注：以区金融服务中心提供的数据为评分依据，本项数据由招标人提供。</w:t>
            </w:r>
          </w:p>
        </w:tc>
      </w:tr>
      <w:tr w14:paraId="0F63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75" w:type="dxa"/>
            <w:noWrap w:val="0"/>
            <w:vAlign w:val="center"/>
          </w:tcPr>
          <w:p w14:paraId="16987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  <w:t>3.3</w:t>
            </w:r>
          </w:p>
        </w:tc>
        <w:tc>
          <w:tcPr>
            <w:tcW w:w="1843" w:type="dxa"/>
            <w:noWrap w:val="0"/>
            <w:vAlign w:val="center"/>
          </w:tcPr>
          <w:p w14:paraId="07220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金融两项收入同比增量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 w:bidi="ar"/>
              </w:rPr>
              <w:t>（8分）</w:t>
            </w:r>
          </w:p>
        </w:tc>
        <w:tc>
          <w:tcPr>
            <w:tcW w:w="7449" w:type="dxa"/>
            <w:noWrap w:val="0"/>
            <w:vAlign w:val="center"/>
          </w:tcPr>
          <w:p w14:paraId="55005B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新宋体" w:hAnsi="新宋体" w:eastAsia="新宋体" w:cs="新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以投标银行“2025年末利息净收入+手续费及佣金净收入”的增量（即2025年两项收入合计−2024年两项收入合计）为依据，</w:t>
            </w:r>
            <w:r>
              <w:rPr>
                <w:rFonts w:hint="eastAsia" w:ascii="新宋体" w:hAnsi="新宋体" w:eastAsia="新宋体" w:cs="新宋体"/>
                <w:color w:val="auto"/>
                <w:sz w:val="22"/>
                <w:szCs w:val="22"/>
                <w:lang w:val="en-US" w:eastAsia="zh-CN"/>
              </w:rPr>
              <w:t>第一名得8分，其余投标银行排名每降低一名相应递减0.1分，减至0分为止。</w:t>
            </w:r>
          </w:p>
          <w:p w14:paraId="6E9DE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注：以区金融服务中心提供的数据为评分依据，本项数据由招标人提供。</w:t>
            </w:r>
          </w:p>
        </w:tc>
      </w:tr>
      <w:tr w14:paraId="7083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75" w:type="dxa"/>
            <w:noWrap w:val="0"/>
            <w:vAlign w:val="center"/>
          </w:tcPr>
          <w:p w14:paraId="4AA9A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  <w:t>3.4</w:t>
            </w:r>
          </w:p>
        </w:tc>
        <w:tc>
          <w:tcPr>
            <w:tcW w:w="1843" w:type="dxa"/>
            <w:noWrap w:val="0"/>
            <w:vAlign w:val="center"/>
          </w:tcPr>
          <w:p w14:paraId="48C0F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val="en-US" w:eastAsia="zh-CN" w:bidi="ar"/>
              </w:rPr>
              <w:t>各项存款增量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bidi="ar-SA"/>
              </w:rPr>
              <w:t>指标</w:t>
            </w: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bidi="ar"/>
              </w:rPr>
              <w:t>分）</w:t>
            </w:r>
          </w:p>
        </w:tc>
        <w:tc>
          <w:tcPr>
            <w:tcW w:w="7449" w:type="dxa"/>
            <w:noWrap w:val="0"/>
            <w:vAlign w:val="center"/>
          </w:tcPr>
          <w:p w14:paraId="6BFA1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t>根据各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竞标银行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t>各项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存款较年初增量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t>排名，第1名得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t>排名依次扣减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0.5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t>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最低得2分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-SA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bidi="ar-SA"/>
              </w:rPr>
              <w:t>注：投标人需提供人行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bidi="ar-SA"/>
              </w:rPr>
              <w:t>《温州市金融数据综合月报》相关页面复印件并加盖公章。</w:t>
            </w:r>
          </w:p>
        </w:tc>
      </w:tr>
    </w:tbl>
    <w:p w14:paraId="6662482B">
      <w:pPr>
        <w:rPr>
          <w:rFonts w:hint="default"/>
          <w:lang w:val="en-US" w:eastAsia="zh-CN"/>
        </w:rPr>
      </w:pPr>
    </w:p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80941"/>
    <w:rsid w:val="430060C3"/>
    <w:rsid w:val="75A1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adjustRightInd/>
      <w:spacing w:after="120" w:line="240" w:lineRule="auto"/>
      <w:ind w:firstLine="420" w:firstLineChars="100"/>
      <w:jc w:val="both"/>
      <w:textAlignment w:val="auto"/>
    </w:pPr>
    <w:rPr>
      <w:rFonts w:ascii="Times New Roman" w:eastAsia="宋体"/>
      <w:kern w:val="2"/>
      <w:sz w:val="21"/>
    </w:rPr>
  </w:style>
  <w:style w:type="paragraph" w:customStyle="1" w:styleId="6">
    <w:name w:val="No Spacing"/>
    <w:qFormat/>
    <w:uiPriority w:val="0"/>
    <w:pPr>
      <w:widowControl w:val="0"/>
      <w:jc w:val="both"/>
    </w:pPr>
    <w:rPr>
      <w:rFonts w:ascii="Courier New" w:hAnsi="Courier New" w:eastAsia="宋体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556</Characters>
  <Lines>0</Lines>
  <Paragraphs>0</Paragraphs>
  <TotalTime>0</TotalTime>
  <ScaleCrop>false</ScaleCrop>
  <LinksUpToDate>false</LinksUpToDate>
  <CharactersWithSpaces>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2026-07-03T02:54:00Z</dcterms:created>
  <dc:creator>Administrator</dc:creator>
  <cp:lastModifiedBy>Sandy</cp:lastModifiedBy>
  <dcterms:modified xsi:type="dcterms:W3CDTF">2026-07-03T06:01:28Z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eyJoZGlkIjoiZTI2NTZkODEzZDE1ZGZiOWY0ZWQxYzA3ODBkNWMyMDUiLCJ1c2VySWQiOiIxNDMzNTU1MyJ9</vt:lpwstr>
  </property>
  <property fmtid="{D5CDD505-2E9C-101B-9397-08002B2CF9AE}" pid="4" name="ICV">
    <vt:lpwstr>1DCC9BAE691F4EAF8BD6B6D30B904029_12</vt:lpwstr>
  </property>
</Properties>
</file>