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5181E7">
      <w:pPr>
        <w:pStyle w:val="32"/>
        <w:spacing w:line="360" w:lineRule="auto"/>
        <w:rPr>
          <w:rFonts w:hint="eastAsia" w:ascii="宋体" w:hAnsi="宋体" w:eastAsia="宋体" w:cs="宋体"/>
          <w:color w:val="auto"/>
          <w:highlight w:val="none"/>
        </w:rPr>
      </w:pPr>
    </w:p>
    <w:p w14:paraId="0B4E4157">
      <w:pPr>
        <w:pStyle w:val="33"/>
        <w:rPr>
          <w:rFonts w:hint="eastAsia" w:ascii="宋体" w:hAnsi="宋体" w:eastAsia="宋体" w:cs="宋体"/>
          <w:color w:val="auto"/>
          <w:highlight w:val="none"/>
        </w:rPr>
      </w:pPr>
    </w:p>
    <w:p w14:paraId="3AD6FB70">
      <w:pPr>
        <w:rPr>
          <w:rFonts w:hint="eastAsia"/>
          <w:highlight w:val="none"/>
        </w:rPr>
      </w:pPr>
    </w:p>
    <w:p w14:paraId="4499CAFF">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b/>
          <w:bCs/>
          <w:sz w:val="52"/>
          <w:szCs w:val="52"/>
          <w:highlight w:val="none"/>
        </w:rPr>
      </w:pPr>
      <w:r>
        <w:rPr>
          <w:rFonts w:hint="eastAsia" w:ascii="宋体" w:hAnsi="宋体" w:eastAsia="宋体" w:cs="宋体"/>
          <w:b/>
          <w:bCs/>
          <w:sz w:val="52"/>
          <w:szCs w:val="52"/>
          <w:highlight w:val="none"/>
        </w:rPr>
        <w:t>浙江经贸职业技术学院</w:t>
      </w:r>
    </w:p>
    <w:p w14:paraId="3EB04F4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b/>
          <w:bCs/>
          <w:sz w:val="52"/>
          <w:szCs w:val="52"/>
          <w:highlight w:val="none"/>
          <w:lang w:val="en-US" w:eastAsia="zh-CN"/>
        </w:rPr>
      </w:pPr>
      <w:r>
        <w:rPr>
          <w:rFonts w:hint="eastAsia" w:ascii="宋体" w:hAnsi="宋体" w:cs="宋体"/>
          <w:b/>
          <w:bCs/>
          <w:color w:val="000000"/>
          <w:sz w:val="48"/>
          <w:szCs w:val="48"/>
          <w:highlight w:val="none"/>
          <w:lang w:eastAsia="zh-CN"/>
        </w:rPr>
        <w:t>202</w:t>
      </w:r>
      <w:r>
        <w:rPr>
          <w:rFonts w:hint="eastAsia" w:ascii="宋体" w:hAnsi="宋体" w:cs="宋体"/>
          <w:b/>
          <w:bCs/>
          <w:color w:val="000000"/>
          <w:sz w:val="48"/>
          <w:szCs w:val="48"/>
          <w:highlight w:val="none"/>
          <w:lang w:val="en-US" w:eastAsia="zh-CN"/>
        </w:rPr>
        <w:t>6</w:t>
      </w:r>
      <w:r>
        <w:rPr>
          <w:rFonts w:hint="eastAsia" w:ascii="宋体" w:hAnsi="宋体" w:cs="宋体"/>
          <w:b/>
          <w:bCs/>
          <w:color w:val="000000"/>
          <w:sz w:val="48"/>
          <w:szCs w:val="48"/>
          <w:highlight w:val="none"/>
          <w:lang w:eastAsia="zh-CN"/>
        </w:rPr>
        <w:t>年第一期公款竞争性存放</w:t>
      </w:r>
      <w:r>
        <w:rPr>
          <w:rFonts w:hint="eastAsia" w:ascii="宋体" w:hAnsi="宋体" w:cs="宋体"/>
          <w:b/>
          <w:bCs/>
          <w:color w:val="000000"/>
          <w:sz w:val="48"/>
          <w:szCs w:val="48"/>
          <w:highlight w:val="none"/>
          <w:lang w:val="en-US" w:eastAsia="zh-CN"/>
        </w:rPr>
        <w:t>招标</w:t>
      </w:r>
    </w:p>
    <w:p w14:paraId="35DDAD16">
      <w:pPr>
        <w:ind w:firstLine="480"/>
        <w:rPr>
          <w:rFonts w:hint="eastAsia" w:ascii="宋体" w:hAnsi="宋体" w:eastAsia="宋体" w:cs="宋体"/>
          <w:highlight w:val="none"/>
        </w:rPr>
      </w:pPr>
    </w:p>
    <w:p w14:paraId="6C8A446E">
      <w:pPr>
        <w:ind w:firstLine="0" w:firstLineChars="0"/>
        <w:jc w:val="center"/>
        <w:rPr>
          <w:rFonts w:hint="eastAsia" w:ascii="宋体" w:hAnsi="宋体" w:eastAsia="宋体" w:cs="宋体"/>
          <w:b/>
          <w:sz w:val="84"/>
          <w:szCs w:val="84"/>
          <w:highlight w:val="none"/>
        </w:rPr>
      </w:pPr>
      <w:r>
        <w:rPr>
          <w:rFonts w:hint="eastAsia" w:ascii="宋体" w:hAnsi="宋体" w:eastAsia="宋体" w:cs="宋体"/>
          <w:b/>
          <w:sz w:val="84"/>
          <w:szCs w:val="84"/>
          <w:highlight w:val="none"/>
        </w:rPr>
        <w:t>公开招标文件</w:t>
      </w:r>
    </w:p>
    <w:p w14:paraId="5BF7DF4F">
      <w:pPr>
        <w:ind w:firstLine="0" w:firstLineChars="0"/>
        <w:rPr>
          <w:rFonts w:hint="eastAsia" w:ascii="宋体" w:hAnsi="宋体" w:eastAsia="宋体" w:cs="宋体"/>
          <w:b/>
          <w:highlight w:val="none"/>
        </w:rPr>
      </w:pPr>
    </w:p>
    <w:p w14:paraId="5A157290">
      <w:pPr>
        <w:ind w:firstLine="480"/>
        <w:rPr>
          <w:rFonts w:hint="eastAsia" w:ascii="宋体" w:hAnsi="宋体" w:eastAsia="宋体" w:cs="宋体"/>
          <w:highlight w:val="none"/>
        </w:rPr>
      </w:pPr>
    </w:p>
    <w:p w14:paraId="5D55D9CE">
      <w:pPr>
        <w:ind w:firstLine="480"/>
        <w:rPr>
          <w:rFonts w:hint="eastAsia" w:ascii="宋体" w:hAnsi="宋体" w:eastAsia="宋体" w:cs="宋体"/>
          <w:highlight w:val="none"/>
        </w:rPr>
      </w:pPr>
    </w:p>
    <w:p w14:paraId="41A4D46C">
      <w:pPr>
        <w:ind w:firstLine="480"/>
        <w:rPr>
          <w:rFonts w:hint="eastAsia" w:ascii="宋体" w:hAnsi="宋体" w:eastAsia="宋体" w:cs="宋体"/>
          <w:highlight w:val="none"/>
        </w:rPr>
      </w:pPr>
    </w:p>
    <w:p w14:paraId="2427F1E2">
      <w:pPr>
        <w:ind w:firstLine="480"/>
        <w:rPr>
          <w:rFonts w:hint="eastAsia" w:ascii="宋体" w:hAnsi="宋体" w:eastAsia="宋体" w:cs="宋体"/>
          <w:highlight w:val="none"/>
        </w:rPr>
      </w:pPr>
    </w:p>
    <w:p w14:paraId="53D07C24">
      <w:pPr>
        <w:ind w:firstLine="480"/>
        <w:rPr>
          <w:rFonts w:hint="eastAsia" w:ascii="宋体" w:hAnsi="宋体" w:eastAsia="宋体" w:cs="宋体"/>
          <w:highlight w:val="none"/>
        </w:rPr>
      </w:pPr>
    </w:p>
    <w:p w14:paraId="74D64FBD">
      <w:pPr>
        <w:ind w:firstLine="480"/>
        <w:rPr>
          <w:rFonts w:hint="eastAsia" w:ascii="宋体" w:hAnsi="宋体" w:eastAsia="宋体" w:cs="宋体"/>
          <w:highlight w:val="none"/>
        </w:rPr>
      </w:pPr>
    </w:p>
    <w:p w14:paraId="56F42B8B">
      <w:pPr>
        <w:ind w:firstLine="480"/>
        <w:rPr>
          <w:rFonts w:hint="eastAsia" w:ascii="宋体" w:hAnsi="宋体" w:eastAsia="宋体" w:cs="宋体"/>
          <w:highlight w:val="none"/>
        </w:rPr>
      </w:pPr>
    </w:p>
    <w:p w14:paraId="7FD5A41A">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宋体" w:hAnsi="宋体" w:eastAsia="宋体" w:cs="宋体"/>
          <w:b/>
          <w:highlight w:val="none"/>
        </w:rPr>
      </w:pPr>
    </w:p>
    <w:p w14:paraId="26775D0A">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default"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项目名称：浙江经贸职业技术学院</w:t>
      </w:r>
      <w:r>
        <w:rPr>
          <w:rFonts w:hint="eastAsia" w:ascii="宋体" w:hAnsi="宋体" w:cs="宋体"/>
          <w:b/>
          <w:bCs/>
          <w:sz w:val="32"/>
          <w:szCs w:val="32"/>
          <w:highlight w:val="none"/>
          <w:lang w:eastAsia="zh-CN"/>
        </w:rPr>
        <w:t>202</w:t>
      </w:r>
      <w:r>
        <w:rPr>
          <w:rFonts w:hint="eastAsia" w:ascii="宋体" w:hAnsi="宋体" w:cs="宋体"/>
          <w:b/>
          <w:bCs/>
          <w:sz w:val="32"/>
          <w:szCs w:val="32"/>
          <w:highlight w:val="none"/>
          <w:lang w:val="en-US" w:eastAsia="zh-CN"/>
        </w:rPr>
        <w:t>6</w:t>
      </w:r>
      <w:r>
        <w:rPr>
          <w:rFonts w:hint="eastAsia" w:ascii="宋体" w:hAnsi="宋体" w:cs="宋体"/>
          <w:b/>
          <w:bCs/>
          <w:sz w:val="32"/>
          <w:szCs w:val="32"/>
          <w:highlight w:val="none"/>
          <w:lang w:eastAsia="zh-CN"/>
        </w:rPr>
        <w:t>年第一期公款竞争性存放</w:t>
      </w:r>
      <w:r>
        <w:rPr>
          <w:rFonts w:hint="eastAsia" w:ascii="宋体" w:hAnsi="宋体" w:cs="宋体"/>
          <w:b/>
          <w:bCs/>
          <w:sz w:val="32"/>
          <w:szCs w:val="32"/>
          <w:highlight w:val="none"/>
          <w:lang w:val="en-US" w:eastAsia="zh-CN"/>
        </w:rPr>
        <w:t>招标</w:t>
      </w:r>
    </w:p>
    <w:p w14:paraId="05AE162F">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 xml:space="preserve">项目编号：XM20260008 </w:t>
      </w:r>
    </w:p>
    <w:p w14:paraId="55638B3D">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宋体" w:hAnsi="宋体" w:eastAsia="宋体" w:cs="宋体"/>
          <w:b/>
          <w:bCs/>
          <w:sz w:val="32"/>
          <w:szCs w:val="32"/>
          <w:highlight w:val="none"/>
          <w:u w:val="single"/>
        </w:rPr>
      </w:pPr>
      <w:r>
        <w:rPr>
          <w:rFonts w:hint="eastAsia" w:ascii="宋体" w:hAnsi="宋体" w:eastAsia="宋体" w:cs="宋体"/>
          <w:b/>
          <w:bCs/>
          <w:sz w:val="32"/>
          <w:szCs w:val="32"/>
          <w:highlight w:val="none"/>
        </w:rPr>
        <w:t>招 标 人：浙江经贸职业技术学院</w:t>
      </w:r>
    </w:p>
    <w:p w14:paraId="42DE41EB">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宋体" w:hAnsi="宋体" w:eastAsia="宋体" w:cs="宋体"/>
          <w:b/>
          <w:bCs/>
          <w:sz w:val="32"/>
          <w:szCs w:val="32"/>
          <w:highlight w:val="none"/>
          <w:u w:val="single"/>
        </w:rPr>
      </w:pPr>
      <w:r>
        <w:rPr>
          <w:rFonts w:hint="eastAsia" w:ascii="宋体" w:hAnsi="宋体" w:eastAsia="宋体" w:cs="宋体"/>
          <w:b/>
          <w:bCs/>
          <w:sz w:val="32"/>
          <w:szCs w:val="32"/>
          <w:highlight w:val="none"/>
        </w:rPr>
        <w:t>招标代理机构：浙江致信招标代理有限公司</w:t>
      </w:r>
    </w:p>
    <w:p w14:paraId="5F7E87F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highlight w:val="none"/>
        </w:rPr>
      </w:pPr>
    </w:p>
    <w:p w14:paraId="719288F9">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jc w:val="center"/>
        <w:textAlignment w:val="auto"/>
        <w:rPr>
          <w:rFonts w:hint="eastAsia" w:ascii="宋体" w:hAnsi="宋体" w:eastAsia="宋体" w:cs="宋体"/>
          <w:highlight w:val="none"/>
        </w:rPr>
      </w:pPr>
      <w:r>
        <w:rPr>
          <w:rFonts w:hint="eastAsia" w:ascii="宋体" w:hAnsi="宋体" w:eastAsia="宋体" w:cs="宋体"/>
          <w:b/>
          <w:bCs/>
          <w:sz w:val="32"/>
          <w:szCs w:val="32"/>
          <w:highlight w:val="none"/>
        </w:rPr>
        <w:t>时    间：二〇二</w:t>
      </w:r>
      <w:r>
        <w:rPr>
          <w:rFonts w:hint="eastAsia" w:ascii="宋体" w:hAnsi="宋体" w:cs="宋体"/>
          <w:b/>
          <w:bCs/>
          <w:sz w:val="32"/>
          <w:szCs w:val="32"/>
          <w:highlight w:val="none"/>
          <w:lang w:val="en-US" w:eastAsia="zh-CN"/>
        </w:rPr>
        <w:t>六</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五</w:t>
      </w:r>
      <w:r>
        <w:rPr>
          <w:rFonts w:hint="eastAsia" w:ascii="宋体" w:hAnsi="宋体" w:eastAsia="宋体" w:cs="宋体"/>
          <w:b/>
          <w:bCs/>
          <w:sz w:val="32"/>
          <w:szCs w:val="32"/>
          <w:highlight w:val="none"/>
        </w:rPr>
        <w:t>月</w:t>
      </w:r>
    </w:p>
    <w:p w14:paraId="7F4D00B0">
      <w:pPr>
        <w:spacing w:line="360" w:lineRule="auto"/>
        <w:rPr>
          <w:rFonts w:hint="eastAsia" w:ascii="宋体" w:hAnsi="宋体" w:eastAsia="宋体" w:cs="宋体"/>
          <w:b/>
          <w:spacing w:val="-6"/>
          <w:sz w:val="30"/>
          <w:szCs w:val="30"/>
          <w:highlight w:val="none"/>
        </w:rPr>
      </w:pPr>
    </w:p>
    <w:p w14:paraId="42523E1F">
      <w:pPr>
        <w:spacing w:line="360" w:lineRule="auto"/>
        <w:rPr>
          <w:rFonts w:hint="eastAsia" w:ascii="宋体" w:hAnsi="宋体" w:eastAsia="宋体" w:cs="宋体"/>
          <w:b/>
          <w:sz w:val="21"/>
          <w:szCs w:val="21"/>
          <w:highlight w:val="none"/>
        </w:rPr>
        <w:sectPr>
          <w:footerReference r:id="rId3" w:type="default"/>
          <w:pgSz w:w="11906" w:h="16838"/>
          <w:pgMar w:top="1247" w:right="1247" w:bottom="1247" w:left="1247" w:header="0" w:footer="850" w:gutter="0"/>
          <w:pgNumType w:start="1"/>
          <w:cols w:space="720" w:num="1"/>
          <w:docGrid w:linePitch="381" w:charSpace="0"/>
        </w:sectPr>
      </w:pPr>
    </w:p>
    <w:p w14:paraId="7BC1F980">
      <w:pPr>
        <w:pStyle w:val="32"/>
        <w:spacing w:line="360" w:lineRule="auto"/>
        <w:rPr>
          <w:rFonts w:hint="eastAsia" w:ascii="宋体" w:hAnsi="宋体" w:eastAsia="宋体" w:cs="宋体"/>
          <w:color w:val="auto"/>
          <w:highlight w:val="none"/>
        </w:rPr>
      </w:pPr>
    </w:p>
    <w:p w14:paraId="056D07CC">
      <w:pPr>
        <w:pStyle w:val="12"/>
        <w:spacing w:line="360" w:lineRule="auto"/>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目录</w:t>
      </w:r>
    </w:p>
    <w:p w14:paraId="09EA82C7">
      <w:pPr>
        <w:pStyle w:val="12"/>
        <w:spacing w:line="360" w:lineRule="auto"/>
        <w:jc w:val="center"/>
        <w:rPr>
          <w:rFonts w:hint="eastAsia" w:ascii="宋体" w:hAnsi="宋体" w:eastAsia="宋体" w:cs="宋体"/>
          <w:b/>
          <w:sz w:val="30"/>
          <w:szCs w:val="30"/>
          <w:highlight w:val="none"/>
        </w:rPr>
      </w:pPr>
    </w:p>
    <w:p w14:paraId="6815FB04">
      <w:pPr>
        <w:numPr>
          <w:ilvl w:val="0"/>
          <w:numId w:val="2"/>
        </w:numPr>
        <w:spacing w:beforeLines="50" w:line="360" w:lineRule="auto"/>
        <w:ind w:left="164" w:firstLine="0"/>
        <w:rPr>
          <w:rFonts w:hint="eastAsia" w:ascii="宋体" w:hAnsi="宋体" w:eastAsia="宋体" w:cs="宋体"/>
          <w:b/>
          <w:spacing w:val="-6"/>
          <w:sz w:val="30"/>
          <w:szCs w:val="30"/>
          <w:highlight w:val="none"/>
        </w:rPr>
      </w:pPr>
      <w:r>
        <w:rPr>
          <w:rFonts w:hint="eastAsia" w:ascii="宋体" w:hAnsi="宋体" w:cs="宋体"/>
          <w:b/>
          <w:spacing w:val="-6"/>
          <w:sz w:val="30"/>
          <w:szCs w:val="30"/>
          <w:highlight w:val="none"/>
          <w:lang w:val="en-US" w:eastAsia="zh-CN"/>
        </w:rPr>
        <w:t>投标邀请</w:t>
      </w:r>
    </w:p>
    <w:p w14:paraId="037A738C">
      <w:pPr>
        <w:numPr>
          <w:ilvl w:val="0"/>
          <w:numId w:val="2"/>
        </w:numPr>
        <w:spacing w:beforeLines="50" w:line="360" w:lineRule="auto"/>
        <w:ind w:left="164" w:firstLine="0"/>
        <w:rPr>
          <w:rFonts w:hint="eastAsia" w:ascii="宋体" w:hAnsi="宋体" w:eastAsia="宋体" w:cs="宋体"/>
          <w:b/>
          <w:spacing w:val="-6"/>
          <w:sz w:val="30"/>
          <w:szCs w:val="30"/>
          <w:highlight w:val="none"/>
        </w:rPr>
      </w:pPr>
      <w:r>
        <w:rPr>
          <w:rFonts w:hint="eastAsia" w:ascii="宋体" w:hAnsi="宋体" w:eastAsia="宋体" w:cs="宋体"/>
          <w:b/>
          <w:spacing w:val="-6"/>
          <w:sz w:val="30"/>
          <w:szCs w:val="30"/>
          <w:highlight w:val="none"/>
        </w:rPr>
        <w:t>招标需求</w:t>
      </w:r>
    </w:p>
    <w:p w14:paraId="49D051AC">
      <w:pPr>
        <w:numPr>
          <w:ilvl w:val="0"/>
          <w:numId w:val="2"/>
        </w:numPr>
        <w:spacing w:beforeLines="50" w:line="360" w:lineRule="auto"/>
        <w:ind w:left="164" w:firstLine="0"/>
        <w:rPr>
          <w:rFonts w:hint="eastAsia" w:ascii="宋体" w:hAnsi="宋体" w:eastAsia="宋体" w:cs="宋体"/>
          <w:b/>
          <w:spacing w:val="-6"/>
          <w:sz w:val="30"/>
          <w:szCs w:val="30"/>
          <w:highlight w:val="none"/>
        </w:rPr>
      </w:pPr>
      <w:r>
        <w:rPr>
          <w:rFonts w:hint="eastAsia" w:ascii="宋体" w:hAnsi="宋体" w:eastAsia="宋体" w:cs="宋体"/>
          <w:b/>
          <w:spacing w:val="-6"/>
          <w:sz w:val="30"/>
          <w:szCs w:val="30"/>
          <w:highlight w:val="none"/>
        </w:rPr>
        <w:t>投标人须知</w:t>
      </w:r>
    </w:p>
    <w:p w14:paraId="1556A50E">
      <w:pPr>
        <w:numPr>
          <w:ilvl w:val="0"/>
          <w:numId w:val="2"/>
        </w:numPr>
        <w:spacing w:beforeLines="50" w:line="360" w:lineRule="auto"/>
        <w:ind w:left="164" w:firstLine="0"/>
        <w:rPr>
          <w:rFonts w:hint="eastAsia" w:ascii="宋体" w:hAnsi="宋体" w:eastAsia="宋体" w:cs="宋体"/>
          <w:b/>
          <w:spacing w:val="-6"/>
          <w:sz w:val="30"/>
          <w:szCs w:val="30"/>
          <w:highlight w:val="none"/>
        </w:rPr>
      </w:pPr>
      <w:r>
        <w:rPr>
          <w:rFonts w:hint="eastAsia" w:ascii="宋体" w:hAnsi="宋体" w:eastAsia="宋体" w:cs="宋体"/>
          <w:b/>
          <w:spacing w:val="-6"/>
          <w:sz w:val="30"/>
          <w:szCs w:val="30"/>
          <w:highlight w:val="none"/>
        </w:rPr>
        <w:t>评标办法及评分标准</w:t>
      </w:r>
    </w:p>
    <w:p w14:paraId="1996BF33">
      <w:pPr>
        <w:numPr>
          <w:ilvl w:val="0"/>
          <w:numId w:val="2"/>
        </w:numPr>
        <w:spacing w:beforeLines="50" w:line="360" w:lineRule="auto"/>
        <w:ind w:left="164" w:firstLine="0"/>
        <w:rPr>
          <w:rFonts w:hint="eastAsia" w:ascii="宋体" w:hAnsi="宋体" w:eastAsia="宋体" w:cs="宋体"/>
          <w:b/>
          <w:spacing w:val="-6"/>
          <w:sz w:val="30"/>
          <w:szCs w:val="30"/>
          <w:highlight w:val="none"/>
        </w:rPr>
      </w:pPr>
      <w:r>
        <w:rPr>
          <w:rFonts w:hint="eastAsia" w:ascii="宋体" w:hAnsi="宋体" w:eastAsia="宋体" w:cs="宋体"/>
          <w:b/>
          <w:spacing w:val="-6"/>
          <w:sz w:val="30"/>
          <w:szCs w:val="30"/>
          <w:highlight w:val="none"/>
        </w:rPr>
        <w:t>拟签订的协议文本</w:t>
      </w:r>
    </w:p>
    <w:p w14:paraId="44E898F2">
      <w:pPr>
        <w:numPr>
          <w:ilvl w:val="0"/>
          <w:numId w:val="2"/>
        </w:numPr>
        <w:spacing w:beforeLines="50" w:line="360" w:lineRule="auto"/>
        <w:ind w:left="164" w:firstLine="0"/>
        <w:rPr>
          <w:rFonts w:hint="eastAsia" w:ascii="宋体" w:hAnsi="宋体" w:eastAsia="宋体" w:cs="宋体"/>
          <w:b/>
          <w:spacing w:val="-6"/>
          <w:sz w:val="30"/>
          <w:szCs w:val="30"/>
          <w:highlight w:val="none"/>
        </w:rPr>
      </w:pPr>
      <w:r>
        <w:rPr>
          <w:rFonts w:hint="eastAsia" w:ascii="宋体" w:hAnsi="宋体" w:eastAsia="宋体" w:cs="宋体"/>
          <w:b/>
          <w:spacing w:val="-6"/>
          <w:sz w:val="30"/>
          <w:szCs w:val="30"/>
          <w:highlight w:val="none"/>
        </w:rPr>
        <w:t>投标文件格式</w:t>
      </w:r>
    </w:p>
    <w:p w14:paraId="6327B831">
      <w:pPr>
        <w:pStyle w:val="12"/>
        <w:spacing w:line="360" w:lineRule="auto"/>
        <w:jc w:val="center"/>
        <w:outlineLvl w:val="0"/>
        <w:rPr>
          <w:rFonts w:hint="default" w:ascii="宋体" w:hAnsi="宋体" w:eastAsia="宋体" w:cs="宋体"/>
          <w:b/>
          <w:spacing w:val="-6"/>
          <w:sz w:val="32"/>
          <w:szCs w:val="32"/>
          <w:highlight w:val="none"/>
          <w:lang w:val="en-US" w:eastAsia="zh-CN"/>
        </w:rPr>
      </w:pPr>
      <w:r>
        <w:rPr>
          <w:rFonts w:hint="eastAsia" w:ascii="宋体" w:hAnsi="宋体" w:eastAsia="宋体" w:cs="宋体"/>
          <w:sz w:val="21"/>
          <w:szCs w:val="21"/>
          <w:highlight w:val="none"/>
        </w:rPr>
        <w:br w:type="page"/>
      </w:r>
      <w:r>
        <w:rPr>
          <w:rFonts w:hint="eastAsia" w:ascii="宋体" w:hAnsi="宋体" w:eastAsia="宋体" w:cs="宋体"/>
          <w:b/>
          <w:spacing w:val="-6"/>
          <w:sz w:val="32"/>
          <w:szCs w:val="32"/>
          <w:highlight w:val="none"/>
        </w:rPr>
        <w:t xml:space="preserve">第一章  </w:t>
      </w:r>
      <w:r>
        <w:rPr>
          <w:rFonts w:hint="eastAsia" w:hAnsi="宋体" w:cs="宋体"/>
          <w:b/>
          <w:spacing w:val="-6"/>
          <w:sz w:val="32"/>
          <w:szCs w:val="32"/>
          <w:highlight w:val="none"/>
          <w:lang w:val="en-US" w:eastAsia="zh-CN"/>
        </w:rPr>
        <w:t>投标邀请</w:t>
      </w:r>
    </w:p>
    <w:p w14:paraId="3D2BA71B">
      <w:pPr>
        <w:spacing w:line="360" w:lineRule="auto"/>
        <w:ind w:firstLine="396" w:firstLineChars="200"/>
        <w:rPr>
          <w:rFonts w:hint="eastAsia" w:ascii="宋体" w:hAnsi="宋体" w:cs="宋体"/>
          <w:spacing w:val="-6"/>
          <w:kern w:val="0"/>
          <w:sz w:val="21"/>
          <w:szCs w:val="21"/>
          <w:highlight w:val="none"/>
          <w:lang w:eastAsia="zh-CN"/>
        </w:rPr>
      </w:pPr>
      <w:r>
        <w:rPr>
          <w:rFonts w:hint="eastAsia" w:ascii="宋体" w:hAnsi="宋体" w:cs="宋体"/>
          <w:spacing w:val="-6"/>
          <w:kern w:val="0"/>
          <w:sz w:val="21"/>
          <w:szCs w:val="21"/>
          <w:highlight w:val="none"/>
          <w:lang w:eastAsia="zh-CN"/>
        </w:rPr>
        <w:t>根据《关于防止领导干部在公款存放方面发生利益冲突和利益输送的办法》（浙委办发〔2015〕8号)、《浙江省省级行政事业单位公款竞争性存放管理办法》（浙财预执〔2021〕7号）、《关于明确2025年度省级行政事业单位公款竞争性存放有关事项的函》</w:t>
      </w:r>
      <w:r>
        <w:rPr>
          <w:rFonts w:hint="default" w:ascii="宋体" w:hAnsi="宋体" w:eastAsia="宋体" w:cs="宋体"/>
          <w:b w:val="0"/>
          <w:bCs w:val="0"/>
          <w:i w:val="0"/>
          <w:iCs w:val="0"/>
          <w:color w:val="auto"/>
          <w:spacing w:val="-6"/>
          <w:kern w:val="0"/>
          <w:sz w:val="21"/>
          <w:szCs w:val="21"/>
          <w:highlight w:val="none"/>
          <w:vertAlign w:val="baseline"/>
          <w:lang w:val="en-US" w:eastAsia="zh-CN" w:bidi="ar-SA"/>
        </w:rPr>
        <w:t>浙财函〔2025〕97号</w:t>
      </w:r>
      <w:r>
        <w:rPr>
          <w:rFonts w:hint="eastAsia" w:ascii="宋体" w:hAnsi="宋体" w:cs="宋体"/>
          <w:spacing w:val="-6"/>
          <w:kern w:val="0"/>
          <w:sz w:val="21"/>
          <w:szCs w:val="21"/>
          <w:highlight w:val="none"/>
          <w:lang w:eastAsia="zh-CN"/>
        </w:rPr>
        <w:t>、《浙江省教育厅公款竞争性存放实施细则》（浙教办函〔2024〕194号）规定，决定就浙江经贸职业技术学院2025年第一期公款竞争性存放开展招标工作，欢迎符合条件的银行机构参加投标。</w:t>
      </w:r>
    </w:p>
    <w:p w14:paraId="720AAD8A">
      <w:pPr>
        <w:spacing w:line="360" w:lineRule="auto"/>
        <w:rPr>
          <w:rFonts w:hint="default" w:ascii="宋体" w:hAnsi="宋体" w:eastAsia="宋体" w:cs="宋体"/>
          <w:b/>
          <w:spacing w:val="-6"/>
          <w:sz w:val="24"/>
          <w:highlight w:val="none"/>
          <w:lang w:val="en-US" w:eastAsia="zh-CN"/>
        </w:rPr>
      </w:pPr>
      <w:r>
        <w:rPr>
          <w:rFonts w:hint="eastAsia" w:ascii="宋体" w:hAnsi="宋体" w:eastAsia="宋体" w:cs="宋体"/>
          <w:b/>
          <w:spacing w:val="-6"/>
          <w:sz w:val="24"/>
          <w:highlight w:val="none"/>
        </w:rPr>
        <w:t>一、招标项目名称：</w:t>
      </w:r>
      <w:r>
        <w:rPr>
          <w:rFonts w:hint="eastAsia" w:ascii="宋体" w:hAnsi="宋体" w:cs="宋体"/>
          <w:spacing w:val="-6"/>
          <w:kern w:val="0"/>
          <w:sz w:val="21"/>
          <w:szCs w:val="21"/>
          <w:highlight w:val="none"/>
          <w:lang w:eastAsia="zh-CN"/>
        </w:rPr>
        <w:t>浙江经贸职业技术学院202</w:t>
      </w:r>
      <w:r>
        <w:rPr>
          <w:rFonts w:hint="eastAsia" w:ascii="宋体" w:hAnsi="宋体" w:cs="宋体"/>
          <w:spacing w:val="-6"/>
          <w:kern w:val="0"/>
          <w:sz w:val="21"/>
          <w:szCs w:val="21"/>
          <w:highlight w:val="none"/>
          <w:lang w:val="en-US" w:eastAsia="zh-CN"/>
        </w:rPr>
        <w:t>6</w:t>
      </w:r>
      <w:r>
        <w:rPr>
          <w:rFonts w:hint="eastAsia" w:ascii="宋体" w:hAnsi="宋体" w:cs="宋体"/>
          <w:spacing w:val="-6"/>
          <w:kern w:val="0"/>
          <w:sz w:val="21"/>
          <w:szCs w:val="21"/>
          <w:highlight w:val="none"/>
          <w:lang w:eastAsia="zh-CN"/>
        </w:rPr>
        <w:t>年第一期公款竞争性存放</w:t>
      </w:r>
      <w:r>
        <w:rPr>
          <w:rFonts w:hint="eastAsia" w:ascii="宋体" w:hAnsi="宋体" w:cs="宋体"/>
          <w:spacing w:val="-6"/>
          <w:kern w:val="0"/>
          <w:sz w:val="21"/>
          <w:szCs w:val="21"/>
          <w:highlight w:val="none"/>
          <w:lang w:val="en-US" w:eastAsia="zh-CN"/>
        </w:rPr>
        <w:t>招标</w:t>
      </w:r>
    </w:p>
    <w:p w14:paraId="5975A2D6">
      <w:pPr>
        <w:spacing w:line="360" w:lineRule="auto"/>
        <w:rPr>
          <w:rFonts w:hint="eastAsia" w:ascii="宋体" w:hAnsi="宋体" w:eastAsia="宋体" w:cs="宋体"/>
          <w:spacing w:val="-6"/>
          <w:kern w:val="0"/>
          <w:sz w:val="21"/>
          <w:szCs w:val="21"/>
          <w:highlight w:val="none"/>
        </w:rPr>
      </w:pPr>
      <w:r>
        <w:rPr>
          <w:rFonts w:hint="eastAsia" w:ascii="宋体" w:hAnsi="宋体" w:eastAsia="宋体" w:cs="宋体"/>
          <w:b/>
          <w:spacing w:val="-6"/>
          <w:sz w:val="24"/>
          <w:highlight w:val="none"/>
        </w:rPr>
        <w:t>二、</w:t>
      </w:r>
      <w:r>
        <w:rPr>
          <w:rFonts w:hint="eastAsia" w:ascii="宋体" w:hAnsi="宋体" w:eastAsia="宋体" w:cs="宋体"/>
          <w:b/>
          <w:bCs/>
          <w:spacing w:val="-6"/>
          <w:sz w:val="24"/>
          <w:highlight w:val="none"/>
        </w:rPr>
        <w:t>招标项目编号</w:t>
      </w:r>
      <w:r>
        <w:rPr>
          <w:rFonts w:hint="eastAsia" w:ascii="宋体" w:hAnsi="宋体" w:cs="宋体"/>
          <w:b/>
          <w:bCs/>
          <w:spacing w:val="-6"/>
          <w:sz w:val="24"/>
          <w:highlight w:val="none"/>
          <w:lang w:eastAsia="zh-CN"/>
        </w:rPr>
        <w:t>：</w:t>
      </w:r>
      <w:r>
        <w:rPr>
          <w:rFonts w:hint="eastAsia" w:ascii="宋体" w:hAnsi="宋体" w:eastAsia="宋体" w:cs="宋体"/>
          <w:b/>
          <w:bCs/>
          <w:spacing w:val="-6"/>
          <w:sz w:val="24"/>
          <w:highlight w:val="none"/>
        </w:rPr>
        <w:t xml:space="preserve">XM20260008 </w:t>
      </w:r>
    </w:p>
    <w:p w14:paraId="11345EF4">
      <w:pPr>
        <w:spacing w:line="360" w:lineRule="auto"/>
        <w:rPr>
          <w:rFonts w:hint="eastAsia" w:ascii="宋体" w:hAnsi="宋体" w:eastAsia="宋体" w:cs="宋体"/>
          <w:b/>
          <w:spacing w:val="-6"/>
          <w:sz w:val="24"/>
          <w:highlight w:val="none"/>
        </w:rPr>
      </w:pPr>
      <w:r>
        <w:rPr>
          <w:rFonts w:hint="eastAsia" w:ascii="宋体" w:hAnsi="宋体" w:eastAsia="宋体" w:cs="宋体"/>
          <w:b/>
          <w:spacing w:val="-6"/>
          <w:sz w:val="24"/>
          <w:highlight w:val="none"/>
        </w:rPr>
        <w:t>三、招标项目内容：</w:t>
      </w:r>
    </w:p>
    <w:p w14:paraId="2F4F0729">
      <w:pPr>
        <w:spacing w:line="360" w:lineRule="auto"/>
        <w:ind w:firstLine="396" w:firstLineChars="200"/>
        <w:rPr>
          <w:rFonts w:hint="eastAsia"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（一）存放资金总额：</w:t>
      </w:r>
      <w:r>
        <w:rPr>
          <w:rFonts w:hint="eastAsia" w:ascii="宋体" w:hAnsi="宋体" w:cs="宋体"/>
          <w:spacing w:val="-6"/>
          <w:kern w:val="0"/>
          <w:sz w:val="21"/>
          <w:szCs w:val="21"/>
          <w:highlight w:val="none"/>
          <w:lang w:val="en-US" w:eastAsia="zh-CN"/>
        </w:rPr>
        <w:t>6500</w:t>
      </w:r>
      <w:r>
        <w:rPr>
          <w:rFonts w:hint="eastAsia" w:ascii="宋体" w:hAnsi="宋体" w:eastAsia="宋体" w:cs="宋体"/>
          <w:spacing w:val="-6"/>
          <w:kern w:val="0"/>
          <w:sz w:val="21"/>
          <w:szCs w:val="21"/>
          <w:highlight w:val="none"/>
        </w:rPr>
        <w:t>万元。</w:t>
      </w:r>
    </w:p>
    <w:p w14:paraId="400EC3D6">
      <w:pPr>
        <w:spacing w:line="360" w:lineRule="auto"/>
        <w:ind w:firstLine="396" w:firstLineChars="200"/>
        <w:rPr>
          <w:rFonts w:hint="eastAsia"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（二）存款期限为一年定期存款。</w:t>
      </w:r>
    </w:p>
    <w:p w14:paraId="03B86689">
      <w:pPr>
        <w:spacing w:line="360" w:lineRule="auto"/>
        <w:ind w:firstLine="396" w:firstLineChars="200"/>
        <w:rPr>
          <w:rFonts w:hint="eastAsia" w:ascii="宋体" w:hAnsi="宋体" w:eastAsia="宋体" w:cs="宋体"/>
          <w:spacing w:val="-6"/>
          <w:kern w:val="0"/>
          <w:sz w:val="21"/>
          <w:szCs w:val="21"/>
          <w:highlight w:val="none"/>
          <w:lang w:val="en-US" w:eastAsia="zh-CN"/>
        </w:rPr>
      </w:pPr>
      <w:r>
        <w:rPr>
          <w:rFonts w:hint="eastAsia" w:ascii="宋体" w:hAnsi="宋体" w:eastAsia="宋体" w:cs="宋体"/>
          <w:spacing w:val="-6"/>
          <w:kern w:val="0"/>
          <w:sz w:val="21"/>
          <w:szCs w:val="21"/>
          <w:highlight w:val="none"/>
        </w:rPr>
        <w:t>（三）</w:t>
      </w:r>
      <w:r>
        <w:rPr>
          <w:rFonts w:hint="eastAsia" w:ascii="宋体" w:hAnsi="宋体" w:eastAsia="宋体" w:cs="宋体"/>
          <w:spacing w:val="-6"/>
          <w:kern w:val="0"/>
          <w:sz w:val="21"/>
          <w:szCs w:val="21"/>
          <w:highlight w:val="none"/>
          <w:lang w:eastAsia="zh-CN"/>
        </w:rPr>
        <w:t>存放银行数及金额：根据公款竞争性存放管理办法要求，6500万元公款竞争性存放按招标评分结果拟确定3家中标银行，金额按中标银行得分高低依次安排3500万元、2000万元、1000万元进行存放。</w:t>
      </w:r>
    </w:p>
    <w:p w14:paraId="1F8882C8">
      <w:pPr>
        <w:spacing w:line="360" w:lineRule="auto"/>
        <w:ind w:firstLine="396" w:firstLineChars="200"/>
        <w:rPr>
          <w:rFonts w:hint="eastAsia"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（四）根据《浙江省财政厅关于印发浙江省省级行政事业单位公款竞争性存放管理办法的通知》（浙财预执〔2021〕7号）的规定，经招标人校领导班子集体研究决定，</w:t>
      </w:r>
      <w:r>
        <w:rPr>
          <w:rFonts w:hint="eastAsia" w:ascii="宋体" w:hAnsi="宋体" w:eastAsia="宋体" w:cs="宋体"/>
          <w:spacing w:val="-6"/>
          <w:kern w:val="0"/>
          <w:sz w:val="21"/>
          <w:szCs w:val="21"/>
          <w:highlight w:val="none"/>
          <w:lang w:val="en-US" w:eastAsia="zh-CN"/>
        </w:rPr>
        <w:t>可</w:t>
      </w:r>
      <w:r>
        <w:rPr>
          <w:rFonts w:hint="eastAsia" w:ascii="宋体" w:hAnsi="宋体" w:eastAsia="宋体" w:cs="宋体"/>
          <w:spacing w:val="-6"/>
          <w:kern w:val="0"/>
          <w:sz w:val="21"/>
          <w:szCs w:val="21"/>
          <w:highlight w:val="none"/>
        </w:rPr>
        <w:t>在本期招标定期存款到期后续存原中标银行1年。续存原中标银行的定期存款利率符合国家政策要求且不低于省级行政事业单位在“浙江政府采购网”上公布的同类银行最近同期限中标利率。</w:t>
      </w:r>
    </w:p>
    <w:p w14:paraId="6D6E2E08">
      <w:pPr>
        <w:spacing w:line="360" w:lineRule="auto"/>
        <w:ind w:firstLine="396" w:firstLineChars="200"/>
        <w:rPr>
          <w:rFonts w:hint="eastAsia"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（五）本项目招标有效期两年。</w:t>
      </w:r>
    </w:p>
    <w:p w14:paraId="3B52B241">
      <w:pPr>
        <w:spacing w:line="360" w:lineRule="auto"/>
        <w:rPr>
          <w:rFonts w:hint="eastAsia" w:ascii="宋体" w:hAnsi="宋体" w:eastAsia="宋体" w:cs="宋体"/>
          <w:b/>
          <w:bCs/>
          <w:spacing w:val="-6"/>
          <w:sz w:val="24"/>
          <w:highlight w:val="none"/>
        </w:rPr>
      </w:pPr>
      <w:r>
        <w:rPr>
          <w:rFonts w:hint="eastAsia" w:ascii="宋体" w:hAnsi="宋体" w:eastAsia="宋体" w:cs="宋体"/>
          <w:b/>
          <w:spacing w:val="-6"/>
          <w:sz w:val="24"/>
          <w:highlight w:val="none"/>
        </w:rPr>
        <w:t>四</w:t>
      </w:r>
      <w:r>
        <w:rPr>
          <w:rFonts w:hint="eastAsia" w:ascii="宋体" w:hAnsi="宋体" w:eastAsia="宋体" w:cs="宋体"/>
          <w:spacing w:val="-6"/>
          <w:sz w:val="24"/>
          <w:highlight w:val="none"/>
        </w:rPr>
        <w:t>、</w:t>
      </w:r>
      <w:r>
        <w:rPr>
          <w:rFonts w:hint="eastAsia" w:ascii="宋体" w:hAnsi="宋体" w:eastAsia="宋体" w:cs="宋体"/>
          <w:b/>
          <w:bCs/>
          <w:spacing w:val="-6"/>
          <w:sz w:val="24"/>
          <w:highlight w:val="none"/>
        </w:rPr>
        <w:t>投标人资格要求：</w:t>
      </w:r>
    </w:p>
    <w:p w14:paraId="06A073D4">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cs="宋体"/>
          <w:spacing w:val="-6"/>
          <w:sz w:val="21"/>
          <w:szCs w:val="21"/>
          <w:highlight w:val="none"/>
          <w:lang w:eastAsia="zh-CN"/>
        </w:rPr>
        <w:t>（</w:t>
      </w:r>
      <w:r>
        <w:rPr>
          <w:rFonts w:hint="eastAsia" w:ascii="宋体" w:hAnsi="宋体" w:cs="宋体"/>
          <w:spacing w:val="-6"/>
          <w:sz w:val="21"/>
          <w:szCs w:val="21"/>
          <w:highlight w:val="none"/>
          <w:lang w:val="en-US" w:eastAsia="zh-CN"/>
        </w:rPr>
        <w:t>一）</w:t>
      </w:r>
      <w:r>
        <w:rPr>
          <w:rFonts w:hint="eastAsia" w:ascii="宋体" w:hAnsi="宋体" w:eastAsia="宋体" w:cs="宋体"/>
          <w:spacing w:val="-6"/>
          <w:sz w:val="21"/>
          <w:szCs w:val="21"/>
          <w:highlight w:val="none"/>
        </w:rPr>
        <w:t>参与省级行政事业单位公款竞争性存放的银行是指在中华人民共和国境内依法设立的商业银行、农村信用合作联社等银行业金融机构。银行参与投标应符合以下条件：</w:t>
      </w:r>
    </w:p>
    <w:p w14:paraId="6B1683D9">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cs="宋体"/>
          <w:spacing w:val="-6"/>
          <w:sz w:val="21"/>
          <w:szCs w:val="21"/>
          <w:highlight w:val="none"/>
          <w:lang w:val="en-US" w:eastAsia="zh-CN"/>
        </w:rPr>
        <w:t>1.</w:t>
      </w:r>
      <w:r>
        <w:rPr>
          <w:rFonts w:hint="eastAsia" w:ascii="宋体" w:hAnsi="宋体" w:eastAsia="宋体" w:cs="宋体"/>
          <w:spacing w:val="-6"/>
          <w:sz w:val="21"/>
          <w:szCs w:val="21"/>
          <w:highlight w:val="none"/>
        </w:rPr>
        <w:t>在杭州市区设有分支机构；</w:t>
      </w:r>
    </w:p>
    <w:p w14:paraId="7175D47F">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cs="宋体"/>
          <w:spacing w:val="-6"/>
          <w:sz w:val="21"/>
          <w:szCs w:val="21"/>
          <w:highlight w:val="none"/>
          <w:lang w:val="en-US" w:eastAsia="zh-CN"/>
        </w:rPr>
        <w:t>2.</w:t>
      </w:r>
      <w:r>
        <w:rPr>
          <w:rFonts w:hint="eastAsia" w:ascii="宋体" w:hAnsi="宋体" w:eastAsia="宋体" w:cs="宋体"/>
          <w:spacing w:val="-6"/>
          <w:sz w:val="21"/>
          <w:szCs w:val="21"/>
          <w:highlight w:val="none"/>
        </w:rPr>
        <w:t>依法开展经营活动，近3年内在经营活动中无重大违法违规记录及重大违约事件；</w:t>
      </w:r>
    </w:p>
    <w:p w14:paraId="1550512E">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cs="宋体"/>
          <w:spacing w:val="-6"/>
          <w:sz w:val="21"/>
          <w:szCs w:val="21"/>
          <w:highlight w:val="none"/>
          <w:lang w:val="en-US" w:eastAsia="zh-CN"/>
        </w:rPr>
        <w:t>3.</w:t>
      </w:r>
      <w:r>
        <w:rPr>
          <w:rFonts w:hint="eastAsia" w:ascii="宋体" w:hAnsi="宋体" w:eastAsia="宋体" w:cs="宋体"/>
          <w:spacing w:val="-6"/>
          <w:sz w:val="21"/>
          <w:szCs w:val="21"/>
          <w:highlight w:val="none"/>
        </w:rPr>
        <w:t>纳入人民银行综合评价的银行，人民银行上年度综合评价应达到B级及以上，不纳入人民银行综合评价范围的银行不受此限制。</w:t>
      </w:r>
    </w:p>
    <w:p w14:paraId="36B40816">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lang w:val="en-US" w:eastAsia="zh-CN"/>
        </w:rPr>
        <w:t>4.</w:t>
      </w:r>
      <w:r>
        <w:rPr>
          <w:rFonts w:hint="eastAsia" w:ascii="宋体" w:hAnsi="宋体" w:eastAsia="宋体" w:cs="宋体"/>
          <w:spacing w:val="-6"/>
          <w:sz w:val="21"/>
          <w:szCs w:val="21"/>
          <w:highlight w:val="none"/>
        </w:rPr>
        <w:t>每家银行只能有一个主体参与投标，允许以省分行或者省分行授权支行为投标主体。省内农村商业银行、农村信用合作联社参与省级行政事业单位公款竞争性存放，可统一以浙江农商联合银行为投标主体。</w:t>
      </w:r>
    </w:p>
    <w:p w14:paraId="0EBE20A0">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lang w:val="en-US" w:eastAsia="zh-CN"/>
        </w:rPr>
        <w:t>二）</w:t>
      </w:r>
      <w:r>
        <w:rPr>
          <w:rFonts w:hint="eastAsia" w:ascii="宋体" w:hAnsi="宋体" w:eastAsia="宋体" w:cs="宋体"/>
          <w:spacing w:val="-6"/>
          <w:sz w:val="21"/>
          <w:szCs w:val="21"/>
          <w:highlight w:val="none"/>
        </w:rPr>
        <w:t>若本项目投标银行中标</w:t>
      </w:r>
      <w:r>
        <w:rPr>
          <w:rFonts w:hint="eastAsia" w:ascii="宋体" w:hAnsi="宋体" w:cs="宋体"/>
          <w:spacing w:val="-6"/>
          <w:sz w:val="21"/>
          <w:szCs w:val="21"/>
          <w:highlight w:val="none"/>
          <w:lang w:val="en-US" w:eastAsia="zh-CN"/>
        </w:rPr>
        <w:t>招标人</w:t>
      </w:r>
      <w:r>
        <w:rPr>
          <w:rFonts w:hint="eastAsia" w:ascii="宋体" w:hAnsi="宋体" w:eastAsia="宋体" w:cs="宋体"/>
          <w:spacing w:val="-6"/>
          <w:sz w:val="21"/>
          <w:szCs w:val="21"/>
          <w:highlight w:val="none"/>
        </w:rPr>
        <w:t>前期公款竞争性存放项目，则投标银行必须在本项目开标前履行完成</w:t>
      </w:r>
      <w:r>
        <w:rPr>
          <w:rFonts w:hint="eastAsia" w:ascii="宋体" w:hAnsi="宋体" w:cs="宋体"/>
          <w:spacing w:val="-6"/>
          <w:sz w:val="21"/>
          <w:szCs w:val="21"/>
          <w:highlight w:val="none"/>
          <w:lang w:val="en-US" w:eastAsia="zh-CN"/>
        </w:rPr>
        <w:t>招标人</w:t>
      </w:r>
      <w:r>
        <w:rPr>
          <w:rFonts w:hint="eastAsia" w:ascii="宋体" w:hAnsi="宋体" w:eastAsia="宋体" w:cs="宋体"/>
          <w:spacing w:val="-6"/>
          <w:sz w:val="21"/>
          <w:szCs w:val="21"/>
          <w:highlight w:val="none"/>
        </w:rPr>
        <w:t>前期公款竞争性存放项目中标时的相关承诺，否则</w:t>
      </w:r>
      <w:r>
        <w:rPr>
          <w:rFonts w:hint="eastAsia" w:ascii="宋体" w:hAnsi="宋体" w:cs="宋体"/>
          <w:spacing w:val="-6"/>
          <w:sz w:val="21"/>
          <w:szCs w:val="21"/>
          <w:highlight w:val="none"/>
          <w:lang w:val="en-US" w:eastAsia="zh-CN"/>
        </w:rPr>
        <w:t>招标人</w:t>
      </w:r>
      <w:r>
        <w:rPr>
          <w:rFonts w:hint="eastAsia" w:ascii="宋体" w:hAnsi="宋体" w:eastAsia="宋体" w:cs="宋体"/>
          <w:spacing w:val="-6"/>
          <w:sz w:val="21"/>
          <w:szCs w:val="21"/>
          <w:highlight w:val="none"/>
        </w:rPr>
        <w:t>有权拒绝其参与本次项目投标。</w:t>
      </w:r>
    </w:p>
    <w:p w14:paraId="6C3E6BB3">
      <w:pPr>
        <w:spacing w:line="360" w:lineRule="auto"/>
        <w:rPr>
          <w:rFonts w:hint="eastAsia" w:ascii="宋体" w:hAnsi="宋体" w:eastAsia="宋体" w:cs="宋体"/>
          <w:b/>
          <w:bCs/>
          <w:spacing w:val="-6"/>
          <w:sz w:val="24"/>
          <w:highlight w:val="none"/>
        </w:rPr>
      </w:pPr>
      <w:r>
        <w:rPr>
          <w:rFonts w:hint="eastAsia" w:ascii="宋体" w:hAnsi="宋体" w:eastAsia="宋体" w:cs="宋体"/>
          <w:b/>
          <w:bCs/>
          <w:spacing w:val="-6"/>
          <w:sz w:val="24"/>
          <w:highlight w:val="none"/>
        </w:rPr>
        <w:t>五、招标文件获取时间、方式及地址：</w:t>
      </w:r>
    </w:p>
    <w:p w14:paraId="620B44BB">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（一）时间：</w:t>
      </w:r>
      <w:r>
        <w:rPr>
          <w:rFonts w:hint="eastAsia" w:ascii="宋体" w:hAnsi="宋体" w:eastAsia="宋体" w:cs="宋体"/>
          <w:spacing w:val="-6"/>
          <w:sz w:val="21"/>
          <w:szCs w:val="21"/>
          <w:highlight w:val="none"/>
          <w:lang w:eastAsia="zh-CN"/>
        </w:rPr>
        <w:t>202</w:t>
      </w:r>
      <w:r>
        <w:rPr>
          <w:rFonts w:hint="eastAsia" w:ascii="宋体" w:hAnsi="宋体" w:cs="宋体"/>
          <w:spacing w:val="-6"/>
          <w:sz w:val="21"/>
          <w:szCs w:val="21"/>
          <w:highlight w:val="none"/>
          <w:lang w:val="en-US" w:eastAsia="zh-CN"/>
        </w:rPr>
        <w:t>6</w:t>
      </w:r>
      <w:r>
        <w:rPr>
          <w:rFonts w:hint="eastAsia" w:ascii="宋体" w:hAnsi="宋体" w:eastAsia="宋体" w:cs="宋体"/>
          <w:spacing w:val="-6"/>
          <w:sz w:val="21"/>
          <w:szCs w:val="21"/>
          <w:highlight w:val="none"/>
          <w:lang w:eastAsia="zh-CN"/>
        </w:rPr>
        <w:t>年</w:t>
      </w:r>
      <w:r>
        <w:rPr>
          <w:rFonts w:hint="eastAsia" w:ascii="宋体" w:hAnsi="宋体" w:cs="宋体"/>
          <w:spacing w:val="-6"/>
          <w:sz w:val="21"/>
          <w:szCs w:val="21"/>
          <w:highlight w:val="none"/>
          <w:lang w:val="en-US" w:eastAsia="zh-CN"/>
        </w:rPr>
        <w:t>5</w:t>
      </w:r>
      <w:r>
        <w:rPr>
          <w:rFonts w:hint="eastAsia" w:ascii="宋体" w:hAnsi="宋体" w:eastAsia="宋体" w:cs="宋体"/>
          <w:spacing w:val="-6"/>
          <w:sz w:val="21"/>
          <w:szCs w:val="21"/>
          <w:highlight w:val="none"/>
          <w:lang w:eastAsia="zh-CN"/>
        </w:rPr>
        <w:t>月</w:t>
      </w:r>
      <w:r>
        <w:rPr>
          <w:rFonts w:hint="eastAsia" w:ascii="宋体" w:hAnsi="宋体" w:cs="宋体"/>
          <w:spacing w:val="-6"/>
          <w:sz w:val="21"/>
          <w:szCs w:val="21"/>
          <w:highlight w:val="none"/>
          <w:lang w:val="en-US" w:eastAsia="zh-CN"/>
        </w:rPr>
        <w:t>7</w:t>
      </w:r>
      <w:r>
        <w:rPr>
          <w:rFonts w:hint="eastAsia" w:ascii="宋体" w:hAnsi="宋体" w:eastAsia="宋体" w:cs="宋体"/>
          <w:spacing w:val="-6"/>
          <w:sz w:val="21"/>
          <w:szCs w:val="21"/>
          <w:highlight w:val="none"/>
          <w:lang w:eastAsia="zh-CN"/>
        </w:rPr>
        <w:t>日</w:t>
      </w:r>
      <w:r>
        <w:rPr>
          <w:rFonts w:hint="eastAsia" w:ascii="宋体" w:hAnsi="宋体" w:eastAsia="宋体" w:cs="宋体"/>
          <w:spacing w:val="-6"/>
          <w:sz w:val="21"/>
          <w:szCs w:val="21"/>
          <w:highlight w:val="none"/>
        </w:rPr>
        <w:t>至</w:t>
      </w:r>
      <w:r>
        <w:rPr>
          <w:rFonts w:hint="eastAsia" w:ascii="宋体" w:hAnsi="宋体" w:eastAsia="宋体" w:cs="宋体"/>
          <w:color w:val="auto"/>
          <w:spacing w:val="-6"/>
          <w:sz w:val="21"/>
          <w:szCs w:val="21"/>
          <w:highlight w:val="none"/>
          <w:lang w:eastAsia="zh-CN"/>
        </w:rPr>
        <w:t>202</w:t>
      </w:r>
      <w:r>
        <w:rPr>
          <w:rFonts w:hint="eastAsia" w:ascii="宋体" w:hAnsi="宋体" w:cs="宋体"/>
          <w:color w:val="auto"/>
          <w:spacing w:val="-6"/>
          <w:sz w:val="21"/>
          <w:szCs w:val="21"/>
          <w:highlight w:val="none"/>
          <w:lang w:val="en-US" w:eastAsia="zh-CN"/>
        </w:rPr>
        <w:t>6</w:t>
      </w:r>
      <w:r>
        <w:rPr>
          <w:rFonts w:hint="eastAsia" w:ascii="宋体" w:hAnsi="宋体" w:eastAsia="宋体" w:cs="宋体"/>
          <w:color w:val="auto"/>
          <w:spacing w:val="-6"/>
          <w:sz w:val="21"/>
          <w:szCs w:val="21"/>
          <w:highlight w:val="none"/>
          <w:lang w:eastAsia="zh-CN"/>
        </w:rPr>
        <w:t>年</w:t>
      </w:r>
      <w:r>
        <w:rPr>
          <w:rFonts w:hint="eastAsia" w:ascii="宋体" w:hAnsi="宋体" w:cs="宋体"/>
          <w:color w:val="auto"/>
          <w:spacing w:val="-6"/>
          <w:sz w:val="21"/>
          <w:szCs w:val="21"/>
          <w:highlight w:val="none"/>
          <w:lang w:val="en-US" w:eastAsia="zh-CN"/>
        </w:rPr>
        <w:t>5</w:t>
      </w:r>
      <w:r>
        <w:rPr>
          <w:rFonts w:hint="eastAsia" w:ascii="宋体" w:hAnsi="宋体" w:eastAsia="宋体" w:cs="宋体"/>
          <w:color w:val="auto"/>
          <w:spacing w:val="-6"/>
          <w:sz w:val="21"/>
          <w:szCs w:val="21"/>
          <w:highlight w:val="none"/>
          <w:lang w:eastAsia="zh-CN"/>
        </w:rPr>
        <w:t>月</w:t>
      </w:r>
      <w:r>
        <w:rPr>
          <w:rFonts w:hint="eastAsia" w:ascii="宋体" w:hAnsi="宋体" w:cs="宋体"/>
          <w:color w:val="auto"/>
          <w:spacing w:val="-6"/>
          <w:sz w:val="21"/>
          <w:szCs w:val="21"/>
          <w:highlight w:val="none"/>
          <w:lang w:val="en-US" w:eastAsia="zh-CN"/>
        </w:rPr>
        <w:t>21</w:t>
      </w:r>
      <w:r>
        <w:rPr>
          <w:rFonts w:hint="eastAsia" w:ascii="宋体" w:hAnsi="宋体" w:eastAsia="宋体" w:cs="宋体"/>
          <w:color w:val="auto"/>
          <w:spacing w:val="-6"/>
          <w:sz w:val="21"/>
          <w:szCs w:val="21"/>
          <w:highlight w:val="none"/>
          <w:lang w:eastAsia="zh-CN"/>
        </w:rPr>
        <w:t>日</w:t>
      </w:r>
      <w:r>
        <w:rPr>
          <w:rFonts w:hint="eastAsia" w:ascii="宋体" w:hAnsi="宋体" w:eastAsia="宋体" w:cs="宋体"/>
          <w:spacing w:val="-6"/>
          <w:sz w:val="21"/>
          <w:szCs w:val="21"/>
          <w:highlight w:val="none"/>
        </w:rPr>
        <w:t>（双休日及法定节假日除外）</w:t>
      </w:r>
    </w:p>
    <w:p w14:paraId="786D35EC">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w:t>
      </w:r>
      <w:r>
        <w:rPr>
          <w:rFonts w:hint="eastAsia" w:ascii="宋体" w:hAnsi="宋体" w:cs="宋体"/>
          <w:spacing w:val="-6"/>
          <w:sz w:val="21"/>
          <w:szCs w:val="21"/>
          <w:highlight w:val="none"/>
          <w:lang w:val="en-US" w:eastAsia="zh-CN"/>
        </w:rPr>
        <w:t>二</w:t>
      </w:r>
      <w:r>
        <w:rPr>
          <w:rFonts w:hint="eastAsia" w:ascii="宋体" w:hAnsi="宋体" w:eastAsia="宋体" w:cs="宋体"/>
          <w:spacing w:val="-6"/>
          <w:sz w:val="21"/>
          <w:szCs w:val="21"/>
          <w:highlight w:val="none"/>
        </w:rPr>
        <w:t>）报名方式：本项目实行网上报名，不接受现场报名。报名银行须登录浙江省公款竞争性存放网上招标平台（</w:t>
      </w:r>
      <w:r>
        <w:rPr>
          <w:rFonts w:hint="eastAsia" w:ascii="宋体" w:hAnsi="宋体" w:eastAsia="宋体" w:cs="宋体"/>
          <w:spacing w:val="-6"/>
          <w:sz w:val="21"/>
          <w:szCs w:val="21"/>
          <w:highlight w:val="none"/>
        </w:rPr>
        <w:fldChar w:fldCharType="begin"/>
      </w:r>
      <w:r>
        <w:rPr>
          <w:rFonts w:hint="eastAsia" w:ascii="宋体" w:hAnsi="宋体" w:eastAsia="宋体" w:cs="宋体"/>
          <w:spacing w:val="-6"/>
          <w:sz w:val="21"/>
          <w:szCs w:val="21"/>
          <w:highlight w:val="none"/>
        </w:rPr>
        <w:instrText xml:space="preserve"> HYPERLINK "https://gkcf-login.czt.zj.gov.cn/?utm=web-pubfund-front.414fc08e.0.0.a5278c50c42211f08ded731b7479a7cb" </w:instrText>
      </w:r>
      <w:r>
        <w:rPr>
          <w:rFonts w:hint="eastAsia" w:ascii="宋体" w:hAnsi="宋体" w:eastAsia="宋体" w:cs="宋体"/>
          <w:spacing w:val="-6"/>
          <w:sz w:val="21"/>
          <w:szCs w:val="21"/>
          <w:highlight w:val="none"/>
        </w:rPr>
        <w:fldChar w:fldCharType="separate"/>
      </w:r>
      <w:r>
        <w:rPr>
          <w:rFonts w:hint="eastAsia" w:ascii="宋体" w:hAnsi="宋体" w:eastAsia="宋体" w:cs="宋体"/>
          <w:spacing w:val="-6"/>
          <w:sz w:val="21"/>
          <w:szCs w:val="21"/>
          <w:highlight w:val="none"/>
        </w:rPr>
        <w:t>https://gkcf-login.czt.zj.gov.cn</w:t>
      </w:r>
      <w:r>
        <w:rPr>
          <w:rFonts w:hint="eastAsia" w:ascii="宋体" w:hAnsi="宋体" w:eastAsia="宋体" w:cs="宋体"/>
          <w:spacing w:val="-6"/>
          <w:sz w:val="21"/>
          <w:szCs w:val="21"/>
          <w:highlight w:val="none"/>
        </w:rPr>
        <w:fldChar w:fldCharType="end"/>
      </w:r>
      <w:r>
        <w:rPr>
          <w:rFonts w:hint="eastAsia" w:ascii="宋体" w:hAnsi="宋体" w:eastAsia="宋体" w:cs="宋体"/>
          <w:spacing w:val="-6"/>
          <w:sz w:val="21"/>
          <w:szCs w:val="21"/>
          <w:highlight w:val="none"/>
        </w:rPr>
        <w:t>），进入“公款竞争性存放”模块，在“竞标项目”选择本项目按规定进行报名。报名成功后在线下载招标文件。（本次采购不提供纸质版采购文件）</w:t>
      </w:r>
    </w:p>
    <w:p w14:paraId="5375A5F5">
      <w:pPr>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spacing w:val="-6"/>
          <w:sz w:val="21"/>
          <w:szCs w:val="21"/>
          <w:highlight w:val="none"/>
        </w:rPr>
        <w:t>（三）标书售价：免费</w:t>
      </w:r>
    </w:p>
    <w:p w14:paraId="53C4F232">
      <w:pPr>
        <w:spacing w:line="360" w:lineRule="auto"/>
        <w:jc w:val="left"/>
        <w:rPr>
          <w:rFonts w:hint="eastAsia" w:ascii="宋体" w:hAnsi="宋体" w:eastAsia="宋体" w:cs="宋体"/>
          <w:color w:val="auto"/>
          <w:spacing w:val="-6"/>
          <w:sz w:val="21"/>
          <w:szCs w:val="21"/>
          <w:highlight w:val="none"/>
          <w:lang w:eastAsia="zh-CN"/>
        </w:rPr>
      </w:pPr>
      <w:r>
        <w:rPr>
          <w:rFonts w:hint="eastAsia" w:ascii="宋体" w:hAnsi="宋体" w:eastAsia="宋体" w:cs="宋体"/>
          <w:b/>
          <w:color w:val="auto"/>
          <w:spacing w:val="-6"/>
          <w:sz w:val="24"/>
          <w:highlight w:val="none"/>
        </w:rPr>
        <w:t>六、</w:t>
      </w:r>
      <w:r>
        <w:rPr>
          <w:rFonts w:hint="eastAsia" w:ascii="宋体" w:hAnsi="宋体" w:eastAsia="宋体" w:cs="宋体"/>
          <w:b/>
          <w:bCs/>
          <w:color w:val="auto"/>
          <w:spacing w:val="-6"/>
          <w:sz w:val="24"/>
          <w:highlight w:val="none"/>
        </w:rPr>
        <w:t>投标截止时间</w:t>
      </w:r>
      <w:r>
        <w:rPr>
          <w:rFonts w:hint="eastAsia" w:ascii="宋体" w:hAnsi="宋体" w:eastAsia="宋体" w:cs="宋体"/>
          <w:color w:val="auto"/>
          <w:spacing w:val="-6"/>
          <w:sz w:val="24"/>
          <w:highlight w:val="none"/>
        </w:rPr>
        <w:t>：</w:t>
      </w:r>
      <w:r>
        <w:rPr>
          <w:rFonts w:hint="eastAsia" w:ascii="宋体" w:hAnsi="宋体" w:eastAsia="宋体" w:cs="宋体"/>
          <w:color w:val="auto"/>
          <w:spacing w:val="-6"/>
          <w:sz w:val="21"/>
          <w:szCs w:val="21"/>
          <w:highlight w:val="none"/>
          <w:lang w:eastAsia="zh-CN"/>
        </w:rPr>
        <w:t>202</w:t>
      </w:r>
      <w:r>
        <w:rPr>
          <w:rFonts w:hint="eastAsia" w:ascii="宋体" w:hAnsi="宋体" w:cs="宋体"/>
          <w:color w:val="auto"/>
          <w:spacing w:val="-6"/>
          <w:sz w:val="21"/>
          <w:szCs w:val="21"/>
          <w:highlight w:val="none"/>
          <w:lang w:val="en-US" w:eastAsia="zh-CN"/>
        </w:rPr>
        <w:t>6</w:t>
      </w:r>
      <w:r>
        <w:rPr>
          <w:rFonts w:hint="eastAsia" w:ascii="宋体" w:hAnsi="宋体" w:eastAsia="宋体" w:cs="宋体"/>
          <w:color w:val="auto"/>
          <w:spacing w:val="-6"/>
          <w:sz w:val="21"/>
          <w:szCs w:val="21"/>
          <w:highlight w:val="none"/>
          <w:lang w:eastAsia="zh-CN"/>
        </w:rPr>
        <w:t>年</w:t>
      </w:r>
      <w:r>
        <w:rPr>
          <w:rFonts w:hint="eastAsia" w:ascii="宋体" w:hAnsi="宋体" w:cs="宋体"/>
          <w:color w:val="auto"/>
          <w:spacing w:val="-6"/>
          <w:sz w:val="21"/>
          <w:szCs w:val="21"/>
          <w:highlight w:val="none"/>
          <w:lang w:val="en-US" w:eastAsia="zh-CN"/>
        </w:rPr>
        <w:t>5</w:t>
      </w:r>
      <w:r>
        <w:rPr>
          <w:rFonts w:hint="eastAsia" w:ascii="宋体" w:hAnsi="宋体" w:eastAsia="宋体" w:cs="宋体"/>
          <w:color w:val="auto"/>
          <w:spacing w:val="-6"/>
          <w:sz w:val="21"/>
          <w:szCs w:val="21"/>
          <w:highlight w:val="none"/>
          <w:lang w:eastAsia="zh-CN"/>
        </w:rPr>
        <w:t>月</w:t>
      </w:r>
      <w:r>
        <w:rPr>
          <w:rFonts w:hint="eastAsia" w:ascii="宋体" w:hAnsi="宋体" w:cs="宋体"/>
          <w:color w:val="auto"/>
          <w:spacing w:val="-6"/>
          <w:sz w:val="21"/>
          <w:szCs w:val="21"/>
          <w:highlight w:val="none"/>
          <w:lang w:val="en-US" w:eastAsia="zh-CN"/>
        </w:rPr>
        <w:t>22</w:t>
      </w:r>
      <w:r>
        <w:rPr>
          <w:rFonts w:hint="eastAsia" w:ascii="宋体" w:hAnsi="宋体" w:eastAsia="宋体" w:cs="宋体"/>
          <w:color w:val="auto"/>
          <w:spacing w:val="-6"/>
          <w:sz w:val="21"/>
          <w:szCs w:val="21"/>
          <w:highlight w:val="none"/>
          <w:lang w:eastAsia="zh-CN"/>
        </w:rPr>
        <w:t>日</w:t>
      </w:r>
      <w:r>
        <w:rPr>
          <w:rFonts w:hint="eastAsia" w:ascii="宋体" w:hAnsi="宋体" w:cs="宋体"/>
          <w:color w:val="auto"/>
          <w:spacing w:val="-6"/>
          <w:sz w:val="21"/>
          <w:szCs w:val="21"/>
          <w:highlight w:val="none"/>
          <w:lang w:val="en-US" w:eastAsia="zh-CN"/>
        </w:rPr>
        <w:t>下午13</w:t>
      </w:r>
      <w:r>
        <w:rPr>
          <w:rFonts w:hint="eastAsia" w:ascii="宋体" w:hAnsi="宋体" w:eastAsia="宋体" w:cs="宋体"/>
          <w:color w:val="auto"/>
          <w:spacing w:val="-6"/>
          <w:sz w:val="21"/>
          <w:szCs w:val="21"/>
          <w:highlight w:val="none"/>
          <w:lang w:eastAsia="zh-CN"/>
        </w:rPr>
        <w:t>:</w:t>
      </w:r>
      <w:r>
        <w:rPr>
          <w:rFonts w:hint="eastAsia" w:ascii="宋体" w:hAnsi="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lang w:eastAsia="zh-CN"/>
        </w:rPr>
        <w:t>0:00</w:t>
      </w:r>
    </w:p>
    <w:p w14:paraId="67CDE0FF">
      <w:pPr>
        <w:keepNext w:val="0"/>
        <w:keepLines w:val="0"/>
        <w:pageBreakBefore w:val="0"/>
        <w:widowControl w:val="0"/>
        <w:kinsoku w:val="0"/>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b/>
          <w:bCs/>
          <w:color w:val="auto"/>
          <w:spacing w:val="-6"/>
          <w:sz w:val="24"/>
          <w:highlight w:val="none"/>
        </w:rPr>
        <w:t>七、投标文件</w:t>
      </w:r>
      <w:r>
        <w:rPr>
          <w:rFonts w:hint="eastAsia" w:ascii="宋体" w:hAnsi="宋体" w:eastAsia="宋体" w:cs="宋体"/>
          <w:b/>
          <w:color w:val="auto"/>
          <w:sz w:val="24"/>
          <w:highlight w:val="none"/>
        </w:rPr>
        <w:t>提交方式、地点：</w:t>
      </w:r>
      <w:r>
        <w:rPr>
          <w:rFonts w:hint="eastAsia" w:ascii="宋体" w:hAnsi="宋体" w:eastAsia="宋体" w:cs="宋体"/>
          <w:color w:val="auto"/>
          <w:spacing w:val="-6"/>
          <w:sz w:val="21"/>
          <w:szCs w:val="21"/>
          <w:highlight w:val="none"/>
        </w:rPr>
        <w:t>通过浙江省公款竞争性存放网上招标平台（https://gkcf-login.czt.zj.gov.cn）在线电子投标；</w:t>
      </w:r>
    </w:p>
    <w:p w14:paraId="6615BB2C">
      <w:pPr>
        <w:spacing w:line="360" w:lineRule="auto"/>
        <w:ind w:firstLine="396" w:firstLineChars="200"/>
        <w:jc w:val="left"/>
        <w:rPr>
          <w:rFonts w:hint="eastAsia" w:ascii="宋体" w:hAnsi="宋体" w:eastAsia="宋体" w:cs="宋体"/>
          <w:bCs/>
          <w:color w:val="auto"/>
          <w:spacing w:val="-6"/>
          <w:sz w:val="21"/>
          <w:szCs w:val="21"/>
          <w:highlight w:val="none"/>
        </w:rPr>
      </w:pPr>
      <w:r>
        <w:rPr>
          <w:rFonts w:hint="eastAsia" w:ascii="宋体" w:hAnsi="宋体" w:eastAsia="宋体" w:cs="宋体"/>
          <w:color w:val="auto"/>
          <w:spacing w:val="-6"/>
          <w:sz w:val="21"/>
          <w:szCs w:val="21"/>
          <w:highlight w:val="none"/>
        </w:rPr>
        <w:t>本项目实行网上电子投标，投标人可在系统中编制投标文件，且应于投标截止时间前，登录公款竞争性存放平台，按规定进行投标。投标成功会接收短信通知，逾期投标视为未投标。</w:t>
      </w:r>
    </w:p>
    <w:p w14:paraId="0F3A6E7E">
      <w:pPr>
        <w:spacing w:line="360" w:lineRule="auto"/>
        <w:rPr>
          <w:rFonts w:hint="eastAsia" w:ascii="宋体" w:hAnsi="宋体" w:eastAsia="宋体" w:cs="宋体"/>
          <w:color w:val="auto"/>
          <w:spacing w:val="-6"/>
          <w:sz w:val="24"/>
          <w:highlight w:val="none"/>
        </w:rPr>
      </w:pPr>
      <w:r>
        <w:rPr>
          <w:rFonts w:hint="eastAsia" w:ascii="宋体" w:hAnsi="宋体" w:eastAsia="宋体" w:cs="宋体"/>
          <w:b/>
          <w:bCs/>
          <w:color w:val="auto"/>
          <w:spacing w:val="-6"/>
          <w:sz w:val="24"/>
          <w:highlight w:val="none"/>
        </w:rPr>
        <w:t>八、开标时间及地点</w:t>
      </w:r>
      <w:r>
        <w:rPr>
          <w:rFonts w:hint="eastAsia" w:ascii="宋体" w:hAnsi="宋体" w:eastAsia="宋体" w:cs="宋体"/>
          <w:color w:val="auto"/>
          <w:spacing w:val="-6"/>
          <w:sz w:val="24"/>
          <w:highlight w:val="none"/>
        </w:rPr>
        <w:t>：</w:t>
      </w:r>
    </w:p>
    <w:p w14:paraId="1C3984D1">
      <w:pPr>
        <w:spacing w:line="360" w:lineRule="auto"/>
        <w:ind w:firstLine="396" w:firstLineChars="200"/>
        <w:jc w:val="left"/>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时间：</w:t>
      </w:r>
      <w:r>
        <w:rPr>
          <w:rFonts w:hint="eastAsia" w:ascii="宋体" w:hAnsi="宋体" w:eastAsia="宋体" w:cs="宋体"/>
          <w:color w:val="auto"/>
          <w:spacing w:val="-6"/>
          <w:sz w:val="21"/>
          <w:szCs w:val="21"/>
          <w:highlight w:val="none"/>
          <w:lang w:eastAsia="zh-CN"/>
        </w:rPr>
        <w:t>202</w:t>
      </w:r>
      <w:r>
        <w:rPr>
          <w:rFonts w:hint="eastAsia" w:ascii="宋体" w:hAnsi="宋体" w:cs="宋体"/>
          <w:color w:val="auto"/>
          <w:spacing w:val="-6"/>
          <w:sz w:val="21"/>
          <w:szCs w:val="21"/>
          <w:highlight w:val="none"/>
          <w:lang w:val="en-US" w:eastAsia="zh-CN"/>
        </w:rPr>
        <w:t>6</w:t>
      </w:r>
      <w:r>
        <w:rPr>
          <w:rFonts w:hint="eastAsia" w:ascii="宋体" w:hAnsi="宋体" w:eastAsia="宋体" w:cs="宋体"/>
          <w:color w:val="auto"/>
          <w:spacing w:val="-6"/>
          <w:sz w:val="21"/>
          <w:szCs w:val="21"/>
          <w:highlight w:val="none"/>
          <w:lang w:eastAsia="zh-CN"/>
        </w:rPr>
        <w:t>年</w:t>
      </w:r>
      <w:r>
        <w:rPr>
          <w:rFonts w:hint="eastAsia" w:ascii="宋体" w:hAnsi="宋体" w:cs="宋体"/>
          <w:color w:val="auto"/>
          <w:spacing w:val="-6"/>
          <w:sz w:val="21"/>
          <w:szCs w:val="21"/>
          <w:highlight w:val="none"/>
          <w:lang w:val="en-US" w:eastAsia="zh-CN"/>
        </w:rPr>
        <w:t>5</w:t>
      </w:r>
      <w:r>
        <w:rPr>
          <w:rFonts w:hint="eastAsia" w:ascii="宋体" w:hAnsi="宋体" w:eastAsia="宋体" w:cs="宋体"/>
          <w:color w:val="auto"/>
          <w:spacing w:val="-6"/>
          <w:sz w:val="21"/>
          <w:szCs w:val="21"/>
          <w:highlight w:val="none"/>
          <w:lang w:eastAsia="zh-CN"/>
        </w:rPr>
        <w:t>月</w:t>
      </w:r>
      <w:r>
        <w:rPr>
          <w:rFonts w:hint="eastAsia" w:ascii="宋体" w:hAnsi="宋体" w:cs="宋体"/>
          <w:color w:val="auto"/>
          <w:spacing w:val="-6"/>
          <w:sz w:val="21"/>
          <w:szCs w:val="21"/>
          <w:highlight w:val="none"/>
          <w:lang w:val="en-US" w:eastAsia="zh-CN"/>
        </w:rPr>
        <w:t>22</w:t>
      </w:r>
      <w:r>
        <w:rPr>
          <w:rFonts w:hint="eastAsia" w:ascii="宋体" w:hAnsi="宋体" w:eastAsia="宋体" w:cs="宋体"/>
          <w:color w:val="auto"/>
          <w:spacing w:val="-6"/>
          <w:sz w:val="21"/>
          <w:szCs w:val="21"/>
          <w:highlight w:val="none"/>
          <w:lang w:eastAsia="zh-CN"/>
        </w:rPr>
        <w:t>日</w:t>
      </w:r>
      <w:r>
        <w:rPr>
          <w:rFonts w:hint="eastAsia" w:ascii="宋体" w:hAnsi="宋体" w:cs="宋体"/>
          <w:color w:val="auto"/>
          <w:spacing w:val="-6"/>
          <w:sz w:val="21"/>
          <w:szCs w:val="21"/>
          <w:highlight w:val="none"/>
          <w:lang w:val="en-US" w:eastAsia="zh-CN"/>
        </w:rPr>
        <w:t>下午13</w:t>
      </w:r>
      <w:r>
        <w:rPr>
          <w:rFonts w:hint="eastAsia" w:ascii="宋体" w:hAnsi="宋体" w:eastAsia="宋体" w:cs="宋体"/>
          <w:color w:val="auto"/>
          <w:spacing w:val="-6"/>
          <w:sz w:val="21"/>
          <w:szCs w:val="21"/>
          <w:highlight w:val="none"/>
          <w:lang w:eastAsia="zh-CN"/>
        </w:rPr>
        <w:t>:</w:t>
      </w:r>
      <w:r>
        <w:rPr>
          <w:rFonts w:hint="eastAsia" w:ascii="宋体" w:hAnsi="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lang w:eastAsia="zh-CN"/>
        </w:rPr>
        <w:t>0:00</w:t>
      </w:r>
    </w:p>
    <w:p w14:paraId="540893D6">
      <w:pPr>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地点：通过浙江省公款竞争性存放网上招标平台（https://gkcf-login.czt.zj.gov.cn）在线开标。</w:t>
      </w:r>
    </w:p>
    <w:p w14:paraId="4D2B512A">
      <w:pPr>
        <w:spacing w:line="360" w:lineRule="auto"/>
        <w:rPr>
          <w:rFonts w:hint="eastAsia" w:ascii="宋体" w:hAnsi="宋体" w:eastAsia="宋体" w:cs="宋体"/>
          <w:b/>
          <w:spacing w:val="-6"/>
          <w:sz w:val="24"/>
          <w:highlight w:val="none"/>
        </w:rPr>
      </w:pPr>
      <w:r>
        <w:rPr>
          <w:rFonts w:hint="eastAsia" w:ascii="宋体" w:hAnsi="宋体" w:eastAsia="宋体" w:cs="宋体"/>
          <w:b/>
          <w:spacing w:val="-6"/>
          <w:sz w:val="24"/>
          <w:highlight w:val="none"/>
        </w:rPr>
        <w:t>九、其他说明：</w:t>
      </w:r>
    </w:p>
    <w:p w14:paraId="4BECF0FB">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（一）投标人应在投标报名前提交浙江省公款竞争性存放网上招标平台（https://gkcf-login.czt.zj.gov.cn）银行入驻申请并成为公款存放正式供应商，否则无法参与线上公款竞争性存放业务。</w:t>
      </w:r>
    </w:p>
    <w:p w14:paraId="59ABA3F3">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二）投标人应在投标前完成CA数字证书办理。网上电子投标具体流程详见操作指南：登录浙江省公款竞争性存放网上招标平台（https://gkcf-login.czt.zj.gov.cn），从首页-服务中心-帮助文档-公款竞争性存放-操作流程，查看文档。</w:t>
      </w:r>
    </w:p>
    <w:p w14:paraId="2CB0CAB3">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（三）如有疑问，可致电公款竞争性存放平台技术支持热线咨询，联系方式：95763。</w:t>
      </w:r>
    </w:p>
    <w:p w14:paraId="712810C2">
      <w:pPr>
        <w:spacing w:line="360" w:lineRule="auto"/>
        <w:rPr>
          <w:rFonts w:hint="eastAsia" w:ascii="宋体" w:hAnsi="宋体" w:eastAsia="宋体" w:cs="宋体"/>
          <w:b/>
          <w:spacing w:val="-6"/>
          <w:sz w:val="24"/>
          <w:highlight w:val="none"/>
        </w:rPr>
      </w:pPr>
      <w:r>
        <w:rPr>
          <w:rFonts w:hint="eastAsia" w:ascii="宋体" w:hAnsi="宋体" w:eastAsia="宋体" w:cs="宋体"/>
          <w:b/>
          <w:spacing w:val="-6"/>
          <w:sz w:val="24"/>
          <w:highlight w:val="none"/>
        </w:rPr>
        <w:t>十、业务咨询：</w:t>
      </w:r>
    </w:p>
    <w:p w14:paraId="31E45362">
      <w:pPr>
        <w:widowControl/>
        <w:spacing w:line="360" w:lineRule="auto"/>
        <w:ind w:right="60" w:firstLine="396" w:firstLineChars="200"/>
        <w:jc w:val="left"/>
        <w:rPr>
          <w:rFonts w:hint="eastAsia" w:ascii="宋体" w:hAnsi="宋体" w:eastAsia="宋体" w:cs="宋体"/>
          <w:spacing w:val="-6"/>
          <w:kern w:val="0"/>
          <w:sz w:val="21"/>
          <w:szCs w:val="21"/>
          <w:highlight w:val="none"/>
          <w:lang w:eastAsia="zh-CN"/>
        </w:rPr>
      </w:pPr>
      <w:r>
        <w:rPr>
          <w:rFonts w:hint="eastAsia" w:ascii="宋体" w:hAnsi="宋体" w:eastAsia="宋体" w:cs="宋体"/>
          <w:spacing w:val="-6"/>
          <w:kern w:val="0"/>
          <w:sz w:val="21"/>
          <w:szCs w:val="21"/>
          <w:highlight w:val="none"/>
        </w:rPr>
        <w:t>招标人名称：</w:t>
      </w:r>
      <w:r>
        <w:rPr>
          <w:rFonts w:hint="eastAsia" w:ascii="宋体" w:hAnsi="宋体" w:eastAsia="宋体" w:cs="宋体"/>
          <w:spacing w:val="-6"/>
          <w:kern w:val="0"/>
          <w:sz w:val="21"/>
          <w:szCs w:val="21"/>
          <w:highlight w:val="none"/>
          <w:lang w:eastAsia="zh-CN"/>
        </w:rPr>
        <w:t>浙江经贸职业技术学院</w:t>
      </w:r>
    </w:p>
    <w:p w14:paraId="76714ED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r>
        <w:rPr>
          <w:rFonts w:hint="eastAsia" w:ascii="宋体" w:hAnsi="宋体" w:eastAsia="宋体" w:cs="宋体"/>
          <w:sz w:val="21"/>
          <w:szCs w:val="21"/>
          <w:highlight w:val="none"/>
          <w:lang w:val="en-US" w:eastAsia="zh-CN"/>
        </w:rPr>
        <w:t>杭州市钱塘区</w:t>
      </w:r>
      <w:r>
        <w:rPr>
          <w:rFonts w:hint="eastAsia" w:ascii="宋体" w:hAnsi="宋体" w:eastAsia="宋体" w:cs="宋体"/>
          <w:sz w:val="21"/>
          <w:szCs w:val="21"/>
          <w:highlight w:val="none"/>
        </w:rPr>
        <w:t>下沙高教园东区学林街280号</w:t>
      </w:r>
    </w:p>
    <w:p w14:paraId="0CC39DA1">
      <w:pPr>
        <w:widowControl/>
        <w:spacing w:line="360" w:lineRule="auto"/>
        <w:ind w:right="60" w:firstLine="420" w:firstLineChars="20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招标项目联系人：</w:t>
      </w:r>
      <w:r>
        <w:rPr>
          <w:rFonts w:hint="eastAsia" w:ascii="宋体" w:hAnsi="宋体" w:cs="宋体"/>
          <w:sz w:val="21"/>
          <w:szCs w:val="21"/>
          <w:highlight w:val="none"/>
          <w:lang w:val="en-US" w:eastAsia="zh-CN"/>
        </w:rPr>
        <w:t>徐老师</w:t>
      </w:r>
    </w:p>
    <w:p w14:paraId="77ACF5B2">
      <w:pPr>
        <w:widowControl/>
        <w:spacing w:line="360" w:lineRule="auto"/>
        <w:ind w:right="60" w:firstLine="420" w:firstLineChars="20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联系方法：0571-86929765</w:t>
      </w:r>
    </w:p>
    <w:p w14:paraId="730FD6C6">
      <w:pPr>
        <w:widowControl/>
        <w:spacing w:line="360" w:lineRule="auto"/>
        <w:ind w:right="60"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招标人质疑联系人：李老师</w:t>
      </w:r>
    </w:p>
    <w:p w14:paraId="31D732F1">
      <w:pPr>
        <w:widowControl/>
        <w:spacing w:line="360" w:lineRule="auto"/>
        <w:ind w:right="60"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联系方法：0571-86929711</w:t>
      </w:r>
    </w:p>
    <w:p w14:paraId="0EA1519F">
      <w:pPr>
        <w:widowControl/>
        <w:spacing w:line="360" w:lineRule="auto"/>
        <w:ind w:right="60"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招标名称：浙江致信招标代理有限公司</w:t>
      </w:r>
    </w:p>
    <w:p w14:paraId="564C5EA5">
      <w:pPr>
        <w:widowControl/>
        <w:spacing w:line="360" w:lineRule="auto"/>
        <w:ind w:right="60"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    址：杭州市西湖区天目山路7号1号楼裙楼</w:t>
      </w:r>
    </w:p>
    <w:p w14:paraId="7DF5BD88">
      <w:pPr>
        <w:widowControl/>
        <w:spacing w:line="360" w:lineRule="auto"/>
        <w:ind w:right="60"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项目联系人（询问）：俞磊、徐锦峰、胡月月、朱梅黎、沈诗佳、张小燕</w:t>
      </w:r>
    </w:p>
    <w:p w14:paraId="18F540EF">
      <w:pPr>
        <w:widowControl/>
        <w:spacing w:line="360" w:lineRule="auto"/>
        <w:ind w:right="60"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项目联系方式（询问）：0571-85503732、0571-85388866</w:t>
      </w:r>
    </w:p>
    <w:p w14:paraId="2639486A">
      <w:pPr>
        <w:widowControl/>
        <w:spacing w:line="360" w:lineRule="auto"/>
        <w:ind w:right="60" w:firstLine="420" w:firstLineChars="20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质疑联系人：徐工</w:t>
      </w:r>
    </w:p>
    <w:p w14:paraId="79DC3C6A">
      <w:pPr>
        <w:widowControl/>
        <w:spacing w:line="360" w:lineRule="auto"/>
        <w:ind w:right="60"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质疑联系方式：0571-88026807</w:t>
      </w:r>
    </w:p>
    <w:p w14:paraId="008B1222">
      <w:pPr>
        <w:widowControl/>
        <w:spacing w:line="360" w:lineRule="auto"/>
        <w:ind w:right="60"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收件地址：浙江省杭州市西湖区天目山路7号1号楼裙楼201室</w:t>
      </w:r>
    </w:p>
    <w:p w14:paraId="47889551">
      <w:pPr>
        <w:widowControl/>
        <w:spacing w:line="360" w:lineRule="auto"/>
        <w:ind w:right="60" w:firstLine="420" w:firstLineChars="20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邮编：310012</w:t>
      </w:r>
    </w:p>
    <w:p w14:paraId="3943525A">
      <w:pPr>
        <w:widowControl/>
        <w:spacing w:line="360" w:lineRule="auto"/>
        <w:ind w:right="60" w:firstLine="420" w:firstLineChars="200"/>
        <w:jc w:val="left"/>
        <w:rPr>
          <w:rFonts w:hint="eastAsia" w:ascii="宋体" w:hAnsi="宋体" w:eastAsia="宋体" w:cs="宋体"/>
          <w:sz w:val="21"/>
          <w:szCs w:val="21"/>
          <w:highlight w:val="none"/>
          <w:lang w:val="en-US" w:eastAsia="zh-CN"/>
        </w:rPr>
      </w:pPr>
    </w:p>
    <w:p w14:paraId="56739958">
      <w:pPr>
        <w:spacing w:line="360" w:lineRule="auto"/>
        <w:ind w:firstLine="643" w:firstLineChars="200"/>
        <w:jc w:val="center"/>
        <w:outlineLvl w:val="0"/>
        <w:rPr>
          <w:rFonts w:hint="eastAsia" w:ascii="宋体" w:hAnsi="宋体" w:eastAsia="宋体" w:cs="宋体"/>
          <w:sz w:val="21"/>
          <w:szCs w:val="21"/>
          <w:highlight w:val="none"/>
        </w:rPr>
      </w:pPr>
      <w:r>
        <w:rPr>
          <w:rFonts w:hint="eastAsia" w:ascii="宋体" w:hAnsi="宋体" w:eastAsia="宋体" w:cs="宋体"/>
          <w:b/>
          <w:sz w:val="32"/>
          <w:szCs w:val="32"/>
          <w:highlight w:val="none"/>
        </w:rPr>
        <w:t xml:space="preserve">第二章  </w:t>
      </w:r>
      <w:r>
        <w:rPr>
          <w:rFonts w:hint="eastAsia" w:ascii="宋体" w:hAnsi="宋体" w:eastAsia="宋体" w:cs="宋体"/>
          <w:b/>
          <w:bCs/>
          <w:sz w:val="32"/>
          <w:szCs w:val="32"/>
          <w:highlight w:val="none"/>
        </w:rPr>
        <w:t>招标需求</w:t>
      </w:r>
    </w:p>
    <w:p w14:paraId="29FCA24F">
      <w:pPr>
        <w:adjustRightInd w:val="0"/>
        <w:snapToGrid w:val="0"/>
        <w:spacing w:line="288" w:lineRule="auto"/>
        <w:ind w:firstLine="420" w:firstLineChars="200"/>
        <w:rPr>
          <w:rFonts w:hint="eastAsia" w:ascii="宋体" w:hAnsi="宋体" w:eastAsia="宋体" w:cs="宋体"/>
          <w:spacing w:val="-6"/>
          <w:kern w:val="0"/>
          <w:sz w:val="21"/>
          <w:szCs w:val="21"/>
          <w:highlight w:val="none"/>
        </w:rPr>
      </w:pPr>
      <w:r>
        <w:rPr>
          <w:rFonts w:hint="eastAsia" w:ascii="宋体" w:hAnsi="宋体" w:eastAsia="宋体" w:cs="宋体"/>
          <w:sz w:val="21"/>
          <w:szCs w:val="21"/>
          <w:highlight w:val="none"/>
        </w:rPr>
        <w:t>本次招标采用综合评分法，招标确</w:t>
      </w:r>
      <w:r>
        <w:rPr>
          <w:rFonts w:hint="eastAsia" w:ascii="宋体" w:hAnsi="宋体" w:eastAsia="宋体" w:cs="宋体"/>
          <w:spacing w:val="-6"/>
          <w:kern w:val="0"/>
          <w:sz w:val="21"/>
          <w:szCs w:val="21"/>
          <w:highlight w:val="none"/>
        </w:rPr>
        <w:t>定</w:t>
      </w:r>
      <w:r>
        <w:rPr>
          <w:rFonts w:hint="eastAsia" w:ascii="宋体" w:hAnsi="宋体" w:cs="宋体"/>
          <w:spacing w:val="-6"/>
          <w:kern w:val="0"/>
          <w:sz w:val="21"/>
          <w:szCs w:val="21"/>
          <w:highlight w:val="none"/>
          <w:lang w:val="en-US" w:eastAsia="zh-CN"/>
        </w:rPr>
        <w:t>3</w:t>
      </w:r>
      <w:r>
        <w:rPr>
          <w:rFonts w:hint="eastAsia" w:ascii="宋体" w:hAnsi="宋体" w:eastAsia="宋体" w:cs="宋体"/>
          <w:spacing w:val="-6"/>
          <w:kern w:val="0"/>
          <w:sz w:val="21"/>
          <w:szCs w:val="21"/>
          <w:highlight w:val="none"/>
        </w:rPr>
        <w:t>家银行机构负责提供</w:t>
      </w:r>
      <w:r>
        <w:rPr>
          <w:rFonts w:hint="eastAsia" w:ascii="宋体" w:hAnsi="宋体" w:cs="宋体"/>
          <w:spacing w:val="-6"/>
          <w:kern w:val="0"/>
          <w:sz w:val="21"/>
          <w:szCs w:val="21"/>
          <w:highlight w:val="none"/>
          <w:lang w:eastAsia="zh-CN"/>
        </w:rPr>
        <w:t>浙江经贸职业技术学院202</w:t>
      </w:r>
      <w:r>
        <w:rPr>
          <w:rFonts w:hint="eastAsia" w:ascii="宋体" w:hAnsi="宋体" w:cs="宋体"/>
          <w:spacing w:val="-6"/>
          <w:kern w:val="0"/>
          <w:sz w:val="21"/>
          <w:szCs w:val="21"/>
          <w:highlight w:val="none"/>
          <w:lang w:val="en-US" w:eastAsia="zh-CN"/>
        </w:rPr>
        <w:t>6</w:t>
      </w:r>
      <w:r>
        <w:rPr>
          <w:rFonts w:hint="eastAsia" w:ascii="宋体" w:hAnsi="宋体" w:cs="宋体"/>
          <w:spacing w:val="-6"/>
          <w:kern w:val="0"/>
          <w:sz w:val="21"/>
          <w:szCs w:val="21"/>
          <w:highlight w:val="none"/>
          <w:lang w:eastAsia="zh-CN"/>
        </w:rPr>
        <w:t>年第一期公款竞争性存放</w:t>
      </w:r>
      <w:r>
        <w:rPr>
          <w:rFonts w:hint="eastAsia" w:ascii="宋体" w:hAnsi="宋体" w:eastAsia="宋体" w:cs="宋体"/>
          <w:spacing w:val="-6"/>
          <w:kern w:val="0"/>
          <w:sz w:val="21"/>
          <w:szCs w:val="21"/>
          <w:highlight w:val="none"/>
        </w:rPr>
        <w:t>服务。</w:t>
      </w:r>
    </w:p>
    <w:p w14:paraId="7C13895F">
      <w:pPr>
        <w:adjustRightInd w:val="0"/>
        <w:snapToGrid w:val="0"/>
        <w:spacing w:line="288" w:lineRule="auto"/>
        <w:ind w:firstLine="396" w:firstLineChars="200"/>
        <w:rPr>
          <w:rFonts w:hint="eastAsia"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服务要求：</w:t>
      </w:r>
    </w:p>
    <w:tbl>
      <w:tblPr>
        <w:tblStyle w:val="24"/>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838"/>
        <w:gridCol w:w="1417"/>
        <w:gridCol w:w="4839"/>
      </w:tblGrid>
      <w:tr w14:paraId="24B8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5BEA2E0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采购内容</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5503160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存放总金额</w:t>
            </w:r>
          </w:p>
          <w:p w14:paraId="22BB33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（万元）</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3E5796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选择银行</w:t>
            </w:r>
          </w:p>
          <w:p w14:paraId="1AF66CE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（家）</w:t>
            </w:r>
          </w:p>
        </w:tc>
        <w:tc>
          <w:tcPr>
            <w:tcW w:w="4839" w:type="dxa"/>
            <w:tcBorders>
              <w:top w:val="single" w:color="auto" w:sz="4" w:space="0"/>
              <w:left w:val="single" w:color="auto" w:sz="4" w:space="0"/>
              <w:bottom w:val="single" w:color="auto" w:sz="4" w:space="0"/>
              <w:right w:val="single" w:color="auto" w:sz="4" w:space="0"/>
            </w:tcBorders>
            <w:shd w:val="clear" w:color="auto" w:fill="auto"/>
            <w:vAlign w:val="center"/>
          </w:tcPr>
          <w:p w14:paraId="4988DEA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资金分配及存放说明</w:t>
            </w:r>
          </w:p>
        </w:tc>
      </w:tr>
      <w:tr w14:paraId="1532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4CC462B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定期存款</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E6B67F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1"/>
                <w:szCs w:val="21"/>
                <w:highlight w:val="none"/>
                <w:lang w:val="en-US"/>
              </w:rPr>
            </w:pPr>
            <w:r>
              <w:rPr>
                <w:rFonts w:hint="eastAsia" w:ascii="宋体" w:hAnsi="宋体" w:cs="宋体"/>
                <w:sz w:val="21"/>
                <w:szCs w:val="21"/>
                <w:highlight w:val="none"/>
                <w:lang w:val="en-US" w:eastAsia="zh-CN"/>
              </w:rPr>
              <w:t>6500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389189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w:t>
            </w:r>
          </w:p>
        </w:tc>
        <w:tc>
          <w:tcPr>
            <w:tcW w:w="4839" w:type="dxa"/>
            <w:tcBorders>
              <w:top w:val="single" w:color="auto" w:sz="4" w:space="0"/>
              <w:left w:val="single" w:color="auto" w:sz="4" w:space="0"/>
              <w:bottom w:val="single" w:color="auto" w:sz="4" w:space="0"/>
              <w:right w:val="single" w:color="auto" w:sz="4" w:space="0"/>
            </w:tcBorders>
            <w:shd w:val="clear" w:color="auto" w:fill="auto"/>
            <w:vAlign w:val="center"/>
          </w:tcPr>
          <w:p w14:paraId="16AB548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根据公款竞争性存放管理办法要求，6500万元公款竞争性存放按招标评分结果拟确定3家中标银行，金额按中标银行得分高低依次安排3500万元、2000万元、1000万元进行存放。</w:t>
            </w:r>
          </w:p>
        </w:tc>
      </w:tr>
    </w:tbl>
    <w:p w14:paraId="30722BE2">
      <w:pPr>
        <w:adjustRightInd w:val="0"/>
        <w:snapToGrid w:val="0"/>
        <w:spacing w:line="360" w:lineRule="auto"/>
        <w:ind w:firstLine="396" w:firstLineChars="200"/>
        <w:rPr>
          <w:rFonts w:hint="eastAsia"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（一）严格按照《关于防止领导干部在公款存放方面发生利益冲突和利益输送的办法》（浙委办发〔2015〕8号）、《浙江省省级行政事业单位公款竞争性存放管理办法》（浙财预执〔2021〕7号）、</w:t>
      </w:r>
      <w:r>
        <w:rPr>
          <w:rFonts w:hint="eastAsia" w:ascii="宋体" w:hAnsi="宋体" w:cs="宋体"/>
          <w:spacing w:val="-6"/>
          <w:kern w:val="0"/>
          <w:sz w:val="21"/>
          <w:szCs w:val="21"/>
          <w:highlight w:val="none"/>
          <w:lang w:eastAsia="zh-CN"/>
        </w:rPr>
        <w:t>《关于明确2025年度省级行政事业单位公款竞争性存放有关事项的函》</w:t>
      </w:r>
      <w:r>
        <w:rPr>
          <w:rFonts w:hint="default" w:ascii="宋体" w:hAnsi="宋体" w:eastAsia="宋体" w:cs="宋体"/>
          <w:b w:val="0"/>
          <w:bCs w:val="0"/>
          <w:i w:val="0"/>
          <w:iCs w:val="0"/>
          <w:color w:val="auto"/>
          <w:spacing w:val="-6"/>
          <w:kern w:val="0"/>
          <w:sz w:val="21"/>
          <w:szCs w:val="21"/>
          <w:highlight w:val="none"/>
          <w:vertAlign w:val="baseline"/>
          <w:lang w:val="en-US" w:eastAsia="zh-CN" w:bidi="ar-SA"/>
        </w:rPr>
        <w:t>浙财函〔2025〕97号</w:t>
      </w:r>
      <w:r>
        <w:rPr>
          <w:rFonts w:hint="eastAsia" w:ascii="宋体" w:hAnsi="宋体" w:eastAsia="宋体" w:cs="宋体"/>
          <w:spacing w:val="-6"/>
          <w:kern w:val="0"/>
          <w:sz w:val="21"/>
          <w:szCs w:val="21"/>
          <w:highlight w:val="none"/>
        </w:rPr>
        <w:t>、《浙江省教育厅公款竞争性存放实施细则》（浙教办函〔2024〕194号）等公款存放的制度规定，办理各项业务，保证资金的安全性。遇到有被银监局降级等特殊情况，会危及资金安全的需要在情况发生3天内及时通知招标人。</w:t>
      </w:r>
    </w:p>
    <w:p w14:paraId="5D9E2DB7">
      <w:pPr>
        <w:adjustRightInd w:val="0"/>
        <w:snapToGrid w:val="0"/>
        <w:spacing w:line="360" w:lineRule="auto"/>
        <w:ind w:firstLine="396" w:firstLineChars="200"/>
        <w:rPr>
          <w:rFonts w:hint="eastAsia" w:ascii="宋体" w:hAnsi="宋体" w:eastAsia="宋体" w:cs="宋体"/>
          <w:sz w:val="21"/>
          <w:szCs w:val="21"/>
          <w:highlight w:val="none"/>
        </w:rPr>
      </w:pPr>
      <w:r>
        <w:rPr>
          <w:rFonts w:hint="eastAsia" w:ascii="宋体" w:hAnsi="宋体" w:eastAsia="宋体" w:cs="宋体"/>
          <w:spacing w:val="-6"/>
          <w:kern w:val="0"/>
          <w:sz w:val="21"/>
          <w:szCs w:val="21"/>
          <w:highlight w:val="none"/>
        </w:rPr>
        <w:t>（二）本项目定期存款存期1年。续存按《浙江省财政厅关于印发浙江省省级行政事业单位公款竞争性存放管理办法的通知》（浙财预执〔2021〕7号）</w:t>
      </w:r>
      <w:r>
        <w:rPr>
          <w:rFonts w:hint="eastAsia" w:ascii="宋体" w:hAnsi="宋体" w:eastAsia="宋体" w:cs="宋体"/>
          <w:sz w:val="21"/>
          <w:szCs w:val="21"/>
          <w:highlight w:val="none"/>
        </w:rPr>
        <w:t>规定执行。凡发现并经核实中标人未遵守廉政承诺或者在资金存放中存在其他利益输送行为的，</w:t>
      </w:r>
      <w:r>
        <w:rPr>
          <w:rFonts w:hint="eastAsia" w:ascii="宋体" w:hAnsi="宋体" w:eastAsia="宋体" w:cs="宋体"/>
          <w:spacing w:val="-6"/>
          <w:kern w:val="0"/>
          <w:sz w:val="21"/>
          <w:szCs w:val="21"/>
          <w:highlight w:val="none"/>
        </w:rPr>
        <w:t>招标人</w:t>
      </w:r>
      <w:r>
        <w:rPr>
          <w:rFonts w:hint="eastAsia" w:ascii="宋体" w:hAnsi="宋体" w:eastAsia="宋体" w:cs="宋体"/>
          <w:sz w:val="21"/>
          <w:szCs w:val="21"/>
          <w:highlight w:val="none"/>
        </w:rPr>
        <w:t>有权提前收回资金。</w:t>
      </w:r>
    </w:p>
    <w:p w14:paraId="76F84990">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（三）按中标利率对公款资金进行计息，定期存款到期时应及时将本息打入</w:t>
      </w:r>
      <w:r>
        <w:rPr>
          <w:rFonts w:hint="eastAsia" w:ascii="宋体" w:hAnsi="宋体" w:eastAsia="宋体" w:cs="宋体"/>
          <w:spacing w:val="-6"/>
          <w:kern w:val="0"/>
          <w:sz w:val="21"/>
          <w:szCs w:val="21"/>
          <w:highlight w:val="none"/>
        </w:rPr>
        <w:t>招标人</w:t>
      </w:r>
      <w:r>
        <w:rPr>
          <w:rFonts w:hint="eastAsia" w:ascii="宋体" w:hAnsi="宋体" w:eastAsia="宋体" w:cs="宋体"/>
          <w:sz w:val="21"/>
          <w:szCs w:val="21"/>
          <w:highlight w:val="none"/>
        </w:rPr>
        <w:t>账户。不能以任何理由拒绝办理或部分办理。</w:t>
      </w:r>
    </w:p>
    <w:p w14:paraId="33F0C9D5">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（四）有专人负责办理相关业务，及时上门提供定期账单，重大金额及重要事项当天送达。</w:t>
      </w:r>
    </w:p>
    <w:p w14:paraId="1E0270E6">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（五）免收银行各项业务手续费。</w:t>
      </w:r>
    </w:p>
    <w:p w14:paraId="7A755BBE">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（六）遇到需要提前支取的情况，应该在核对相应的材料后给予绿色通道快速处理，不得拖延。提前支取规则：存款如需提前支取，则从排名靠后的银行开始。</w:t>
      </w:r>
    </w:p>
    <w:p w14:paraId="13A7716F">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投标人应在投标文件中对服务内容明确承诺，承诺内容必须达到本章及招标文件其他条款的要求。</w:t>
      </w:r>
    </w:p>
    <w:p w14:paraId="75A4D9D8">
      <w:pPr>
        <w:adjustRightInd w:val="0"/>
        <w:snapToGrid w:val="0"/>
        <w:spacing w:line="360" w:lineRule="auto"/>
        <w:ind w:firstLine="396" w:firstLineChars="200"/>
        <w:rPr>
          <w:rFonts w:hint="eastAsia" w:ascii="宋体" w:hAnsi="宋体" w:eastAsia="宋体" w:cs="宋体"/>
          <w:sz w:val="21"/>
          <w:szCs w:val="21"/>
          <w:highlight w:val="none"/>
        </w:rPr>
      </w:pPr>
      <w:r>
        <w:rPr>
          <w:rFonts w:hint="eastAsia" w:ascii="宋体" w:hAnsi="宋体" w:eastAsia="宋体" w:cs="宋体"/>
          <w:spacing w:val="-6"/>
          <w:kern w:val="0"/>
          <w:sz w:val="21"/>
          <w:szCs w:val="21"/>
          <w:highlight w:val="none"/>
        </w:rPr>
        <w:t>（</w:t>
      </w:r>
      <w:r>
        <w:rPr>
          <w:rFonts w:hint="eastAsia" w:ascii="宋体" w:hAnsi="宋体" w:eastAsia="宋体" w:cs="宋体"/>
          <w:spacing w:val="-6"/>
          <w:kern w:val="0"/>
          <w:sz w:val="21"/>
          <w:szCs w:val="21"/>
          <w:highlight w:val="none"/>
          <w:lang w:val="en-US" w:eastAsia="zh-CN"/>
        </w:rPr>
        <w:t>八</w:t>
      </w:r>
      <w:r>
        <w:rPr>
          <w:rFonts w:hint="eastAsia" w:ascii="宋体" w:hAnsi="宋体" w:eastAsia="宋体" w:cs="宋体"/>
          <w:spacing w:val="-6"/>
          <w:kern w:val="0"/>
          <w:sz w:val="21"/>
          <w:szCs w:val="21"/>
          <w:highlight w:val="none"/>
        </w:rPr>
        <w:t>）根据《浙江省财政厅关于印发浙江省省级行政事业单位公款竞争性存放管理办法的通知》（浙财预执〔2021〕7号）的规定，已经招标人校领导班子集体研究决定，同意在本期招标定期存款到期后续存原中标银行1年，后一年度将不再重新组织招投标。续存原中标银行的定期存款利率符合国家政策要求且不低于省级行政事业单位在“浙江政府采购网”上公布的最近同期限中标利率。</w:t>
      </w:r>
    </w:p>
    <w:p w14:paraId="517925FF">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九</w:t>
      </w:r>
      <w:r>
        <w:rPr>
          <w:rFonts w:hint="eastAsia" w:ascii="宋体" w:hAnsi="宋体" w:eastAsia="宋体" w:cs="宋体"/>
          <w:sz w:val="21"/>
          <w:szCs w:val="21"/>
          <w:highlight w:val="none"/>
        </w:rPr>
        <w:t>）基本要求：</w:t>
      </w:r>
    </w:p>
    <w:p w14:paraId="4DCEAF0E">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本次投标报价为一年定期存款年利率。以现行中国人民银行定期存款基准年利率为基数，填报加基点，定期存款年利率为定期存款基准年利率+基点。本期年利率设保底价为招标公告发布当日中国人民银行公布的整存整取的定期存款基准利率,定期存款基准年利率以实际公款存入日中国人民银行公布基准年利率为准。增加基点（BP）按现行利率政策规定范围填写。</w:t>
      </w:r>
    </w:p>
    <w:p w14:paraId="217DD645">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2.投标文件中承诺的基点值在整个合同执行期内固定不变，基准利率以中国人民银行公告的利率为准。</w:t>
      </w:r>
    </w:p>
    <w:p w14:paraId="75E5851E">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3.利息自存入之日起计算，存入时间由招标人根据实际情况决定。</w:t>
      </w:r>
    </w:p>
    <w:p w14:paraId="6D4810B2">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4.允许招标人根据实际需要确定存单面值、提前支取部分或全部存款。</w:t>
      </w:r>
    </w:p>
    <w:p w14:paraId="7BF43E75">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投标时确定的针对本项目的服务机构是获得总行或在浙江省的最高级别机构唯一授权的分支机构。投标人与最终公款存放的网点一致（如不一致的，须在投标文件中明确最终公款存放的网点），服务期限内不得随意转移。</w:t>
      </w:r>
    </w:p>
    <w:p w14:paraId="16900433">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6.当中标人因自身原因放弃中标资格，招标人有权选择排名中标人后顺位一位的银行进行递补，以此类推。</w:t>
      </w:r>
    </w:p>
    <w:p w14:paraId="06FFEB8E">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7.公款存放中标人如未履行当期协议相关义务，本次及今后2年不准参加招标人公款存放的投标。</w:t>
      </w:r>
    </w:p>
    <w:p w14:paraId="6EAD4FC1">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▲8.如因人民银行原因无法提供上年度（202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年度）的综合评价可提供202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年度的材料文件，并提供由上级机构出具的无法提供202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年度人民银行的综合评价的相关证明，出具机构对证明的真实性负责，不得虚假提供，虚假提供一经发现则取消中标资格。</w:t>
      </w:r>
    </w:p>
    <w:p w14:paraId="563E742E">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9.日常服务包括但不限于：</w:t>
      </w:r>
    </w:p>
    <w:p w14:paraId="14D2FD25">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（1）指定专人负责定期存款相关服务；</w:t>
      </w:r>
    </w:p>
    <w:p w14:paraId="029FFBD7">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（2）及时上门提供定期账单，提供银行对账电子稿；</w:t>
      </w:r>
    </w:p>
    <w:p w14:paraId="23B59681">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（3）协助办理本项目的相关手续等；</w:t>
      </w:r>
    </w:p>
    <w:p w14:paraId="01560882">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（4）及时按中标利率对公款资金进行计息和偿付，提前支取给予绿色通道快速处理；</w:t>
      </w:r>
    </w:p>
    <w:p w14:paraId="45E6977C">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（5）及时告知银行出现的重大安全事项；</w:t>
      </w:r>
    </w:p>
    <w:p w14:paraId="04490FDE">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（6）如有开户，对账户的收支业务提供对账单上门服务。</w:t>
      </w:r>
    </w:p>
    <w:p w14:paraId="314608D7">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10.投标人须在中标后按项目需要办理相关手续，并在合同约定的服务期限内按招标人要求提供服务，涉及存放金额和存放期限的，均由招标人自主确定，投标人不得做限制性规定，也不得降低服务质量和标准。</w:t>
      </w:r>
    </w:p>
    <w:p w14:paraId="6E370D3F">
      <w:pPr>
        <w:adjustRightInd w:val="0"/>
        <w:snapToGrid w:val="0"/>
        <w:spacing w:line="360" w:lineRule="auto"/>
        <w:ind w:firstLine="420" w:firstLineChars="200"/>
        <w:rPr>
          <w:rFonts w:hint="eastAsia" w:ascii="宋体" w:hAnsi="宋体" w:eastAsia="宋体" w:cs="宋体"/>
          <w:sz w:val="21"/>
          <w:szCs w:val="21"/>
          <w:highlight w:val="none"/>
        </w:rPr>
      </w:pPr>
    </w:p>
    <w:p w14:paraId="06428682">
      <w:pPr>
        <w:adjustRightInd w:val="0"/>
        <w:snapToGrid w:val="0"/>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注：</w:t>
      </w:r>
      <w:r>
        <w:rPr>
          <w:rFonts w:hint="eastAsia" w:ascii="宋体" w:hAnsi="宋体" w:eastAsia="宋体" w:cs="宋体"/>
          <w:sz w:val="21"/>
          <w:szCs w:val="21"/>
          <w:highlight w:val="none"/>
        </w:rPr>
        <w:t>带“▲”的有关技术和商务条款为实质性条款，投标人必须做出实质性响应。</w:t>
      </w:r>
    </w:p>
    <w:p w14:paraId="121A74C0">
      <w:pPr>
        <w:adjustRightInd w:val="0"/>
        <w:snapToGrid w:val="0"/>
        <w:spacing w:line="360" w:lineRule="auto"/>
        <w:ind w:firstLine="420" w:firstLineChars="200"/>
        <w:rPr>
          <w:rFonts w:hint="eastAsia" w:ascii="宋体" w:hAnsi="宋体" w:eastAsia="宋体" w:cs="宋体"/>
          <w:sz w:val="21"/>
          <w:szCs w:val="21"/>
          <w:highlight w:val="none"/>
        </w:rPr>
      </w:pPr>
    </w:p>
    <w:p w14:paraId="721A586F">
      <w:pPr>
        <w:spacing w:line="360" w:lineRule="auto"/>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r>
        <w:rPr>
          <w:rFonts w:hint="eastAsia" w:ascii="宋体" w:hAnsi="宋体" w:eastAsia="宋体" w:cs="宋体"/>
          <w:b/>
          <w:sz w:val="32"/>
          <w:szCs w:val="32"/>
          <w:highlight w:val="none"/>
        </w:rPr>
        <w:t>第三章  投标人须知</w:t>
      </w:r>
    </w:p>
    <w:p w14:paraId="2080CCD2">
      <w:pPr>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投标人须知前附表</w:t>
      </w:r>
    </w:p>
    <w:tbl>
      <w:tblPr>
        <w:tblStyle w:val="24"/>
        <w:tblW w:w="9640"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8789"/>
      </w:tblGrid>
      <w:tr w14:paraId="0D9E7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3C7BE43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8789" w:type="dxa"/>
            <w:tcBorders>
              <w:top w:val="single" w:color="auto" w:sz="4" w:space="0"/>
              <w:left w:val="single" w:color="auto" w:sz="4" w:space="0"/>
              <w:bottom w:val="single" w:color="auto" w:sz="4" w:space="0"/>
              <w:right w:val="single" w:color="auto" w:sz="4" w:space="0"/>
            </w:tcBorders>
            <w:vAlign w:val="center"/>
          </w:tcPr>
          <w:p w14:paraId="11AED0D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内容、要求</w:t>
            </w:r>
          </w:p>
        </w:tc>
      </w:tr>
      <w:tr w14:paraId="322F1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48ABC84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8789" w:type="dxa"/>
            <w:tcBorders>
              <w:top w:val="single" w:color="auto" w:sz="4" w:space="0"/>
              <w:left w:val="single" w:color="auto" w:sz="4" w:space="0"/>
              <w:bottom w:val="single" w:color="auto" w:sz="4" w:space="0"/>
              <w:right w:val="single" w:color="auto" w:sz="4" w:space="0"/>
            </w:tcBorders>
            <w:vAlign w:val="center"/>
          </w:tcPr>
          <w:p w14:paraId="2C89AFC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招标人：</w:t>
            </w:r>
            <w:r>
              <w:rPr>
                <w:rFonts w:hint="eastAsia" w:ascii="宋体" w:hAnsi="宋体" w:eastAsia="宋体" w:cs="宋体"/>
                <w:sz w:val="21"/>
                <w:szCs w:val="21"/>
                <w:highlight w:val="none"/>
                <w:lang w:eastAsia="zh-CN"/>
              </w:rPr>
              <w:t>浙江经贸职业技术学院</w:t>
            </w:r>
          </w:p>
          <w:p w14:paraId="2DAB9410">
            <w:pPr>
              <w:keepNext w:val="0"/>
              <w:keepLines w:val="0"/>
              <w:suppressLineNumbers w:val="0"/>
              <w:spacing w:before="0" w:beforeAutospacing="0" w:after="0" w:afterAutospacing="0" w:line="360" w:lineRule="auto"/>
              <w:ind w:left="0" w:right="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招标项目名称</w:t>
            </w:r>
            <w:r>
              <w:rPr>
                <w:rFonts w:hint="eastAsia" w:ascii="宋体" w:hAnsi="宋体" w:eastAsia="宋体" w:cs="宋体"/>
                <w:sz w:val="21"/>
                <w:szCs w:val="21"/>
                <w:highlight w:val="none"/>
                <w:lang w:eastAsia="zh-CN"/>
              </w:rPr>
              <w:t>：浙江经贸职业技术学院202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eastAsia="zh-CN"/>
              </w:rPr>
              <w:t>年第一期公款竞争性存放</w:t>
            </w:r>
            <w:r>
              <w:rPr>
                <w:rFonts w:hint="eastAsia" w:ascii="宋体" w:hAnsi="宋体" w:cs="宋体"/>
                <w:sz w:val="21"/>
                <w:szCs w:val="21"/>
                <w:highlight w:val="none"/>
                <w:lang w:val="en-US" w:eastAsia="zh-CN"/>
              </w:rPr>
              <w:t>招标</w:t>
            </w:r>
          </w:p>
        </w:tc>
      </w:tr>
      <w:tr w14:paraId="71FFF5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069B15D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8789" w:type="dxa"/>
            <w:tcBorders>
              <w:top w:val="single" w:color="auto" w:sz="4" w:space="0"/>
              <w:left w:val="single" w:color="auto" w:sz="4" w:space="0"/>
              <w:bottom w:val="single" w:color="auto" w:sz="4" w:space="0"/>
              <w:right w:val="single" w:color="auto" w:sz="4" w:space="0"/>
            </w:tcBorders>
            <w:vAlign w:val="center"/>
          </w:tcPr>
          <w:p w14:paraId="2C299EF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投标报价：</w:t>
            </w:r>
          </w:p>
          <w:p w14:paraId="104426EE">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1.投标报价是指一次性报出不得更改的价格；</w:t>
            </w:r>
          </w:p>
          <w:p w14:paraId="39C2A63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2.本次投标采用一年定期存款年利率报价。</w:t>
            </w:r>
          </w:p>
        </w:tc>
      </w:tr>
      <w:tr w14:paraId="12E98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1C57BB4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8789" w:type="dxa"/>
            <w:tcBorders>
              <w:top w:val="single" w:color="auto" w:sz="4" w:space="0"/>
              <w:left w:val="single" w:color="auto" w:sz="4" w:space="0"/>
              <w:bottom w:val="single" w:color="auto" w:sz="4" w:space="0"/>
              <w:right w:val="single" w:color="auto" w:sz="4" w:space="0"/>
            </w:tcBorders>
            <w:vAlign w:val="center"/>
          </w:tcPr>
          <w:p w14:paraId="1FD3FAC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投标费用：</w:t>
            </w:r>
          </w:p>
          <w:p w14:paraId="0B193F5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1.不论投标结果如何，投标人均应自行承担所有与投标有关的全部费用；</w:t>
            </w:r>
          </w:p>
          <w:p w14:paraId="0FD454C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2.中标人在中标通知书发出后七个工作日内，向招标代理机构交纳代理服务费。</w:t>
            </w:r>
          </w:p>
        </w:tc>
      </w:tr>
      <w:tr w14:paraId="694C5C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0C51068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8789" w:type="dxa"/>
            <w:tcBorders>
              <w:top w:val="single" w:color="auto" w:sz="4" w:space="0"/>
              <w:left w:val="single" w:color="auto" w:sz="4" w:space="0"/>
              <w:bottom w:val="single" w:color="auto" w:sz="4" w:space="0"/>
              <w:right w:val="single" w:color="auto" w:sz="4" w:space="0"/>
            </w:tcBorders>
            <w:vAlign w:val="center"/>
          </w:tcPr>
          <w:p w14:paraId="3992B8E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投标文件份数：在线上传递交</w:t>
            </w:r>
            <w:r>
              <w:rPr>
                <w:rFonts w:hint="eastAsia" w:ascii="宋体" w:hAnsi="宋体" w:eastAsia="宋体" w:cs="宋体"/>
                <w:b/>
                <w:bCs/>
                <w:sz w:val="21"/>
                <w:szCs w:val="21"/>
                <w:highlight w:val="none"/>
              </w:rPr>
              <w:t>。</w:t>
            </w:r>
          </w:p>
        </w:tc>
      </w:tr>
      <w:tr w14:paraId="7B92E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6250D2A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789" w:type="dxa"/>
            <w:tcBorders>
              <w:top w:val="single" w:color="auto" w:sz="4" w:space="0"/>
              <w:left w:val="single" w:color="auto" w:sz="4" w:space="0"/>
              <w:bottom w:val="single" w:color="auto" w:sz="4" w:space="0"/>
              <w:right w:val="single" w:color="auto" w:sz="4" w:space="0"/>
            </w:tcBorders>
            <w:vAlign w:val="center"/>
          </w:tcPr>
          <w:p w14:paraId="14591BA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投标有效期：从提交投标文件的截止之日起90天。</w:t>
            </w:r>
          </w:p>
        </w:tc>
      </w:tr>
      <w:tr w14:paraId="15D60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6696EECD">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8789" w:type="dxa"/>
            <w:tcBorders>
              <w:top w:val="single" w:color="auto" w:sz="4" w:space="0"/>
              <w:left w:val="single" w:color="auto" w:sz="4" w:space="0"/>
              <w:bottom w:val="single" w:color="auto" w:sz="4" w:space="0"/>
              <w:right w:val="single" w:color="auto" w:sz="4" w:space="0"/>
            </w:tcBorders>
            <w:vAlign w:val="center"/>
          </w:tcPr>
          <w:p w14:paraId="5168F1F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评标办法及评分标准：详见第四章《评标办法及评分标准》。</w:t>
            </w:r>
          </w:p>
        </w:tc>
      </w:tr>
      <w:tr w14:paraId="76A5F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58AAEAE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8789" w:type="dxa"/>
            <w:tcBorders>
              <w:top w:val="single" w:color="auto" w:sz="4" w:space="0"/>
              <w:left w:val="single" w:color="auto" w:sz="4" w:space="0"/>
              <w:bottom w:val="single" w:color="auto" w:sz="4" w:space="0"/>
              <w:right w:val="single" w:color="auto" w:sz="4" w:space="0"/>
            </w:tcBorders>
            <w:vAlign w:val="center"/>
          </w:tcPr>
          <w:p w14:paraId="5841F59C">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评标结果公示：评标结果公示于浙江政府采购网（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"http://www.zjzfcg.gov.cn/" </w:instrText>
            </w:r>
            <w:r>
              <w:rPr>
                <w:rFonts w:hint="eastAsia" w:ascii="宋体" w:hAnsi="宋体" w:eastAsia="宋体" w:cs="宋体"/>
                <w:highlight w:val="none"/>
              </w:rPr>
              <w:fldChar w:fldCharType="separate"/>
            </w:r>
            <w:r>
              <w:rPr>
                <w:rStyle w:val="30"/>
                <w:rFonts w:hint="eastAsia" w:ascii="宋体" w:hAnsi="宋体" w:eastAsia="宋体" w:cs="宋体"/>
                <w:color w:val="auto"/>
                <w:sz w:val="21"/>
                <w:szCs w:val="21"/>
                <w:highlight w:val="none"/>
              </w:rPr>
              <w:t>http://www.z</w:t>
            </w:r>
            <w:bookmarkStart w:id="0" w:name="_Hlt495665241"/>
            <w:bookmarkStart w:id="1" w:name="_Hlt495665240"/>
            <w:r>
              <w:rPr>
                <w:rStyle w:val="30"/>
                <w:rFonts w:hint="eastAsia" w:ascii="宋体" w:hAnsi="宋体" w:eastAsia="宋体" w:cs="宋体"/>
                <w:color w:val="auto"/>
                <w:sz w:val="21"/>
                <w:szCs w:val="21"/>
                <w:highlight w:val="none"/>
              </w:rPr>
              <w:t>j</w:t>
            </w:r>
            <w:bookmarkEnd w:id="0"/>
            <w:bookmarkEnd w:id="1"/>
            <w:r>
              <w:rPr>
                <w:rStyle w:val="30"/>
                <w:rFonts w:hint="eastAsia" w:ascii="宋体" w:hAnsi="宋体" w:eastAsia="宋体" w:cs="宋体"/>
                <w:color w:val="auto"/>
                <w:sz w:val="21"/>
                <w:szCs w:val="21"/>
                <w:highlight w:val="none"/>
              </w:rPr>
              <w:t>zfcg.gov.cn</w:t>
            </w:r>
            <w:r>
              <w:rPr>
                <w:rStyle w:val="30"/>
                <w:rFonts w:hint="eastAsia" w:ascii="宋体" w:hAnsi="宋体" w:eastAsia="宋体" w:cs="宋体"/>
                <w:color w:val="auto"/>
                <w:sz w:val="21"/>
                <w:szCs w:val="21"/>
                <w:highlight w:val="none"/>
              </w:rPr>
              <w:fldChar w:fldCharType="end"/>
            </w:r>
            <w:r>
              <w:rPr>
                <w:rFonts w:hint="eastAsia" w:ascii="宋体" w:hAnsi="宋体" w:eastAsia="宋体" w:cs="宋体"/>
                <w:sz w:val="21"/>
                <w:szCs w:val="21"/>
                <w:highlight w:val="none"/>
              </w:rPr>
              <w:t>）等相关网站或媒体。</w:t>
            </w:r>
          </w:p>
        </w:tc>
      </w:tr>
      <w:tr w14:paraId="2FAF31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03E98CF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8789" w:type="dxa"/>
            <w:tcBorders>
              <w:top w:val="single" w:color="auto" w:sz="4" w:space="0"/>
              <w:left w:val="single" w:color="auto" w:sz="4" w:space="0"/>
              <w:bottom w:val="single" w:color="auto" w:sz="4" w:space="0"/>
              <w:right w:val="single" w:color="auto" w:sz="4" w:space="0"/>
            </w:tcBorders>
            <w:vAlign w:val="center"/>
          </w:tcPr>
          <w:p w14:paraId="517D41A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签订协议：中标通知书发出后30日内。</w:t>
            </w:r>
          </w:p>
          <w:p w14:paraId="34E2DCB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支付代理服务费：中标通知书发出后七个工作日内。</w:t>
            </w:r>
            <w:r>
              <w:rPr>
                <w:rStyle w:val="81"/>
                <w:rFonts w:hint="eastAsia" w:ascii="宋体" w:hAnsi="宋体" w:eastAsia="宋体" w:cs="宋体"/>
                <w:kern w:val="0"/>
                <w:sz w:val="21"/>
                <w:szCs w:val="21"/>
                <w:highlight w:val="none"/>
                <w:lang w:val="zh-CN"/>
              </w:rPr>
              <w:t>中标供应商在领取中标通知书时，应向采购代理机构交纳代理服务费，如未按上述规定办理，采购代理机构有权对于代理服务费不足部分进行追索。</w:t>
            </w:r>
          </w:p>
          <w:p w14:paraId="20F6736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每家入围单位需要支付1万元代理服务费给采购代理机构。</w:t>
            </w:r>
          </w:p>
          <w:p w14:paraId="7041941B">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采购代理服务费以电汇方式支付。</w:t>
            </w:r>
          </w:p>
          <w:p w14:paraId="522821B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.服务费缴纳账号：</w:t>
            </w:r>
          </w:p>
          <w:p w14:paraId="2F2682C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户名：</w:t>
            </w:r>
            <w:r>
              <w:rPr>
                <w:rFonts w:hint="eastAsia" w:ascii="宋体" w:hAnsi="宋体" w:eastAsia="宋体" w:cs="Times New Roman"/>
                <w:sz w:val="21"/>
                <w:szCs w:val="21"/>
                <w:highlight w:val="none"/>
                <w:lang w:val="zh-CN"/>
              </w:rPr>
              <w:t>浙江致信招标代理有限公司金华分公司</w:t>
            </w:r>
          </w:p>
          <w:p w14:paraId="4B34299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账号：</w:t>
            </w:r>
            <w:r>
              <w:rPr>
                <w:rFonts w:hint="eastAsia" w:ascii="宋体" w:hAnsi="宋体" w:eastAsia="宋体" w:cs="Times New Roman"/>
                <w:sz w:val="21"/>
                <w:szCs w:val="21"/>
                <w:highlight w:val="none"/>
                <w:lang w:val="zh-CN"/>
              </w:rPr>
              <w:t>3301041060007111473</w:t>
            </w:r>
          </w:p>
          <w:p w14:paraId="4D72505D">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zh-CN"/>
              </w:rPr>
              <w:t>杭州银行四季青支行</w:t>
            </w:r>
          </w:p>
          <w:p w14:paraId="25B4DB6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Times New Roman"/>
                <w:sz w:val="21"/>
                <w:szCs w:val="21"/>
                <w:highlight w:val="none"/>
                <w:lang w:val="zh-CN"/>
              </w:rPr>
            </w:pPr>
            <w:r>
              <w:rPr>
                <w:rFonts w:hint="eastAsia" w:ascii="宋体" w:hAnsi="宋体" w:eastAsia="宋体" w:cs="Times New Roman"/>
                <w:sz w:val="21"/>
                <w:szCs w:val="21"/>
                <w:highlight w:val="none"/>
                <w:lang w:val="zh-CN"/>
              </w:rPr>
              <w:t>行号</w:t>
            </w:r>
            <w:r>
              <w:rPr>
                <w:rFonts w:hint="eastAsia" w:ascii="宋体" w:hAnsi="宋体" w:eastAsia="宋体" w:cs="Times New Roman"/>
                <w:sz w:val="21"/>
                <w:szCs w:val="21"/>
                <w:highlight w:val="none"/>
                <w:lang w:val="zh-CN" w:eastAsia="zh-CN"/>
              </w:rPr>
              <w:t>：</w:t>
            </w:r>
            <w:r>
              <w:rPr>
                <w:rFonts w:hint="eastAsia" w:ascii="宋体" w:hAnsi="宋体" w:eastAsia="宋体" w:cs="Times New Roman"/>
                <w:sz w:val="21"/>
                <w:szCs w:val="21"/>
                <w:highlight w:val="none"/>
                <w:lang w:val="zh-CN"/>
              </w:rPr>
              <w:t>313331000590</w:t>
            </w:r>
          </w:p>
          <w:p w14:paraId="1C8AE4C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6.</w:t>
            </w:r>
            <w:r>
              <w:rPr>
                <w:rStyle w:val="81"/>
                <w:rFonts w:hint="eastAsia" w:ascii="宋体" w:hAnsi="宋体" w:eastAsia="宋体" w:cs="宋体"/>
                <w:kern w:val="0"/>
                <w:sz w:val="21"/>
                <w:szCs w:val="21"/>
                <w:highlight w:val="none"/>
                <w:lang w:val="zh-CN"/>
              </w:rPr>
              <w:t>中标后中标供应商放弃中标资格导致重新采购的，应当承担支付代理费和专家评审费等费用在内的赔偿责任。</w:t>
            </w:r>
          </w:p>
        </w:tc>
      </w:tr>
      <w:tr w14:paraId="5C1EB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0F33515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8789" w:type="dxa"/>
            <w:tcBorders>
              <w:top w:val="single" w:color="auto" w:sz="4" w:space="0"/>
              <w:left w:val="single" w:color="auto" w:sz="4" w:space="0"/>
              <w:bottom w:val="single" w:color="auto" w:sz="4" w:space="0"/>
              <w:right w:val="single" w:color="auto" w:sz="4" w:space="0"/>
            </w:tcBorders>
            <w:vAlign w:val="center"/>
          </w:tcPr>
          <w:p w14:paraId="6A422025">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定期存款存放银行出现以下情形，招标人及时提前收回定期存款，并有权拒绝其在以后2年内参与本单位公款存放。</w:t>
            </w:r>
          </w:p>
          <w:p w14:paraId="2263BF0E">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（1）出现资金安全事故、重大违法违规情况或财务状况恶化的；</w:t>
            </w:r>
          </w:p>
          <w:p w14:paraId="5CE156DC">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（2）监管评级降低，监管部门认为存在较大运营风险的；</w:t>
            </w:r>
          </w:p>
          <w:p w14:paraId="5302CED6">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（3）进行不正当投标的；</w:t>
            </w:r>
          </w:p>
          <w:p w14:paraId="2846CC49">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（4）没有按照中标协议承诺履行相应的责任和义务的；</w:t>
            </w:r>
          </w:p>
          <w:p w14:paraId="2291B4CC">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（5）存在未遵守廉政承诺或者在资金存放中存在其他利益输送行为的；</w:t>
            </w:r>
          </w:p>
          <w:p w14:paraId="1242F3B1">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（6）不能按规定将到期存款本息足额缴入单位账户；</w:t>
            </w:r>
          </w:p>
          <w:p w14:paraId="124AD9DD">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（7）存在其他妨害资金安全行为的。</w:t>
            </w:r>
          </w:p>
        </w:tc>
      </w:tr>
    </w:tbl>
    <w:p w14:paraId="4FE46DFE">
      <w:pPr>
        <w:pStyle w:val="12"/>
        <w:spacing w:line="360" w:lineRule="auto"/>
        <w:jc w:val="center"/>
        <w:outlineLvl w:val="1"/>
        <w:rPr>
          <w:rFonts w:hint="eastAsia" w:ascii="宋体" w:hAnsi="宋体" w:eastAsia="宋体" w:cs="宋体"/>
          <w:b/>
          <w:spacing w:val="-6"/>
          <w:sz w:val="32"/>
          <w:szCs w:val="32"/>
          <w:highlight w:val="none"/>
        </w:rPr>
      </w:pPr>
      <w:r>
        <w:rPr>
          <w:rFonts w:hint="eastAsia" w:ascii="宋体" w:hAnsi="宋体" w:eastAsia="宋体" w:cs="宋体"/>
          <w:b/>
          <w:spacing w:val="-6"/>
          <w:sz w:val="21"/>
          <w:szCs w:val="21"/>
          <w:highlight w:val="none"/>
        </w:rPr>
        <w:br w:type="page"/>
      </w:r>
      <w:r>
        <w:rPr>
          <w:rFonts w:hint="eastAsia" w:ascii="宋体" w:hAnsi="宋体" w:eastAsia="宋体" w:cs="宋体"/>
          <w:b/>
          <w:spacing w:val="-6"/>
          <w:sz w:val="32"/>
          <w:szCs w:val="32"/>
          <w:highlight w:val="none"/>
        </w:rPr>
        <w:t>一、总则</w:t>
      </w:r>
    </w:p>
    <w:p w14:paraId="412236B9">
      <w:pPr>
        <w:spacing w:line="360" w:lineRule="auto"/>
        <w:jc w:val="left"/>
        <w:rPr>
          <w:rFonts w:hint="eastAsia" w:ascii="宋体" w:hAnsi="宋体" w:eastAsia="宋体" w:cs="宋体"/>
          <w:b/>
          <w:spacing w:val="-6"/>
          <w:sz w:val="24"/>
          <w:highlight w:val="none"/>
        </w:rPr>
      </w:pPr>
      <w:r>
        <w:rPr>
          <w:rFonts w:hint="eastAsia" w:ascii="宋体" w:hAnsi="宋体" w:eastAsia="宋体" w:cs="宋体"/>
          <w:b/>
          <w:spacing w:val="-6"/>
          <w:sz w:val="24"/>
          <w:highlight w:val="none"/>
        </w:rPr>
        <w:t>（一） 适用范围</w:t>
      </w:r>
    </w:p>
    <w:p w14:paraId="1242BAB3">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本招标文件适用于</w:t>
      </w:r>
      <w:r>
        <w:rPr>
          <w:rFonts w:hint="eastAsia" w:ascii="宋体" w:hAnsi="宋体" w:cs="宋体"/>
          <w:spacing w:val="-6"/>
          <w:sz w:val="21"/>
          <w:szCs w:val="21"/>
          <w:highlight w:val="none"/>
          <w:lang w:eastAsia="zh-CN"/>
        </w:rPr>
        <w:t>202</w:t>
      </w:r>
      <w:r>
        <w:rPr>
          <w:rFonts w:hint="eastAsia" w:ascii="宋体" w:hAnsi="宋体" w:cs="宋体"/>
          <w:spacing w:val="-6"/>
          <w:sz w:val="21"/>
          <w:szCs w:val="21"/>
          <w:highlight w:val="none"/>
          <w:lang w:val="en-US" w:eastAsia="zh-CN"/>
        </w:rPr>
        <w:t>6</w:t>
      </w:r>
      <w:r>
        <w:rPr>
          <w:rFonts w:hint="eastAsia" w:ascii="宋体" w:hAnsi="宋体" w:cs="宋体"/>
          <w:spacing w:val="-6"/>
          <w:sz w:val="21"/>
          <w:szCs w:val="21"/>
          <w:highlight w:val="none"/>
          <w:lang w:eastAsia="zh-CN"/>
        </w:rPr>
        <w:t>年第一期公款竞争性存放</w:t>
      </w:r>
      <w:r>
        <w:rPr>
          <w:rFonts w:hint="eastAsia" w:ascii="宋体" w:hAnsi="宋体" w:eastAsia="宋体" w:cs="宋体"/>
          <w:spacing w:val="-6"/>
          <w:sz w:val="21"/>
          <w:szCs w:val="21"/>
          <w:highlight w:val="none"/>
        </w:rPr>
        <w:t>的招标、评标、定标、验收、合同履约、付款等（法律、法规另有规定的，从其规定）。</w:t>
      </w:r>
    </w:p>
    <w:p w14:paraId="322F8580">
      <w:pPr>
        <w:spacing w:line="360" w:lineRule="auto"/>
        <w:jc w:val="left"/>
        <w:rPr>
          <w:rFonts w:hint="eastAsia" w:ascii="宋体" w:hAnsi="宋体" w:eastAsia="宋体" w:cs="宋体"/>
          <w:b/>
          <w:spacing w:val="-6"/>
          <w:sz w:val="24"/>
          <w:highlight w:val="none"/>
        </w:rPr>
      </w:pPr>
      <w:r>
        <w:rPr>
          <w:rFonts w:hint="eastAsia" w:ascii="宋体" w:hAnsi="宋体" w:eastAsia="宋体" w:cs="宋体"/>
          <w:b/>
          <w:spacing w:val="-6"/>
          <w:sz w:val="24"/>
          <w:highlight w:val="none"/>
        </w:rPr>
        <w:t>（二） 定义</w:t>
      </w:r>
    </w:p>
    <w:p w14:paraId="69AEEAE3">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1.“招标人”系指</w:t>
      </w:r>
      <w:r>
        <w:rPr>
          <w:rFonts w:hint="eastAsia" w:ascii="宋体" w:hAnsi="宋体" w:eastAsia="宋体" w:cs="宋体"/>
          <w:spacing w:val="-6"/>
          <w:sz w:val="21"/>
          <w:szCs w:val="21"/>
          <w:highlight w:val="none"/>
          <w:lang w:eastAsia="zh-CN"/>
        </w:rPr>
        <w:t>浙江经贸职业技术学院</w:t>
      </w:r>
      <w:r>
        <w:rPr>
          <w:rFonts w:hint="eastAsia" w:ascii="宋体" w:hAnsi="宋体" w:eastAsia="宋体" w:cs="宋体"/>
          <w:spacing w:val="-6"/>
          <w:sz w:val="21"/>
          <w:szCs w:val="21"/>
          <w:highlight w:val="none"/>
        </w:rPr>
        <w:t>，在本招标文件及其合同条款中也称“甲方”。</w:t>
      </w:r>
    </w:p>
    <w:p w14:paraId="06DC6A00">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2.“招标代理机构”系指浙江致信招标代理有限公司，也称“代理机构”。</w:t>
      </w:r>
    </w:p>
    <w:p w14:paraId="561B9AE5">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3.“投标人”系指：获取招标文件并参加本次投标活动的单位，在本招标文件及其合同条款中也称“乙方”，中标后，也称“中标人”。</w:t>
      </w:r>
    </w:p>
    <w:p w14:paraId="4F4C2021">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4 “服务”系指根据招标文件要求中标人必须承担的各类服务，指本项目规定的投标人须承担的专用账户开立、资金存放和结算、保密及解锁、对帐服务、分账核算、各类查询、原路退款、电话咨询、网上银行服务等，及其他财政、监管部门要求提供的各项服务义务。</w:t>
      </w:r>
    </w:p>
    <w:p w14:paraId="5CDF0B33">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cs="宋体"/>
          <w:spacing w:val="-6"/>
          <w:sz w:val="21"/>
          <w:szCs w:val="21"/>
          <w:highlight w:val="none"/>
          <w:lang w:val="en-US" w:eastAsia="zh-CN"/>
        </w:rPr>
        <w:t>5.</w:t>
      </w:r>
      <w:r>
        <w:rPr>
          <w:rFonts w:hint="eastAsia" w:ascii="宋体" w:hAnsi="宋体" w:eastAsia="宋体" w:cs="宋体"/>
          <w:spacing w:val="-6"/>
          <w:sz w:val="21"/>
          <w:szCs w:val="21"/>
          <w:highlight w:val="none"/>
        </w:rPr>
        <w:t>“收费”系指在招标人通过本项目在银行办理业务、接受服务时银行收取的全部收费项目报价。</w:t>
      </w:r>
    </w:p>
    <w:p w14:paraId="414FDC8B">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cs="宋体"/>
          <w:spacing w:val="-6"/>
          <w:sz w:val="21"/>
          <w:szCs w:val="21"/>
          <w:highlight w:val="none"/>
          <w:lang w:val="en-US" w:eastAsia="zh-CN"/>
        </w:rPr>
        <w:t>6.</w:t>
      </w:r>
      <w:r>
        <w:rPr>
          <w:rFonts w:hint="eastAsia" w:ascii="宋体" w:hAnsi="宋体" w:eastAsia="宋体" w:cs="宋体"/>
          <w:spacing w:val="-6"/>
          <w:sz w:val="21"/>
          <w:szCs w:val="21"/>
          <w:highlight w:val="none"/>
        </w:rPr>
        <w:t>除本招标文件已有特别说明之外，“天”、“日”均指日历日，“月”指日历月。</w:t>
      </w:r>
    </w:p>
    <w:p w14:paraId="2EF9A2E2">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cs="宋体"/>
          <w:b w:val="0"/>
          <w:bCs w:val="0"/>
          <w:spacing w:val="-6"/>
          <w:sz w:val="21"/>
          <w:szCs w:val="21"/>
          <w:highlight w:val="none"/>
          <w:lang w:val="en-US" w:eastAsia="zh-CN"/>
        </w:rPr>
        <w:t>7.</w:t>
      </w:r>
      <w:r>
        <w:rPr>
          <w:rFonts w:hint="eastAsia" w:ascii="宋体" w:hAnsi="宋体" w:eastAsia="宋体" w:cs="宋体"/>
          <w:spacing w:val="-6"/>
          <w:sz w:val="21"/>
          <w:szCs w:val="21"/>
          <w:highlight w:val="none"/>
        </w:rPr>
        <w:t>“书面形式”系指送达的、文字记载形式的意思表示（如邮件、电子邮件、传真等）。</w:t>
      </w:r>
    </w:p>
    <w:p w14:paraId="466F8F42">
      <w:pPr>
        <w:spacing w:line="360" w:lineRule="auto"/>
        <w:ind w:firstLine="396" w:firstLineChars="200"/>
        <w:jc w:val="left"/>
        <w:rPr>
          <w:rFonts w:hint="eastAsia" w:ascii="宋体" w:hAnsi="宋体" w:eastAsia="宋体" w:cs="宋体"/>
          <w:b w:val="0"/>
          <w:bCs w:val="0"/>
          <w:spacing w:val="-6"/>
          <w:sz w:val="21"/>
          <w:szCs w:val="21"/>
          <w:highlight w:val="none"/>
        </w:rPr>
      </w:pPr>
      <w:r>
        <w:rPr>
          <w:rFonts w:hint="eastAsia" w:ascii="宋体" w:hAnsi="宋体" w:cs="宋体"/>
          <w:b w:val="0"/>
          <w:bCs w:val="0"/>
          <w:spacing w:val="-6"/>
          <w:sz w:val="21"/>
          <w:szCs w:val="21"/>
          <w:highlight w:val="none"/>
          <w:lang w:val="en-US" w:eastAsia="zh-CN"/>
        </w:rPr>
        <w:t>8</w:t>
      </w:r>
      <w:r>
        <w:rPr>
          <w:rFonts w:hint="eastAsia" w:ascii="宋体" w:hAnsi="宋体" w:eastAsia="宋体" w:cs="宋体"/>
          <w:b w:val="0"/>
          <w:bCs w:val="0"/>
          <w:spacing w:val="-6"/>
          <w:sz w:val="21"/>
          <w:szCs w:val="21"/>
          <w:highlight w:val="none"/>
        </w:rPr>
        <w:t>.“电子投标文件”系指通过浙江省公款竞争性存放网上招标平台（https://gkcf-login.czt.zj.gov.cn）完成投标文件编制后的投标文件；</w:t>
      </w:r>
    </w:p>
    <w:p w14:paraId="4D1C01A1">
      <w:pPr>
        <w:spacing w:line="360" w:lineRule="auto"/>
        <w:ind w:firstLine="396" w:firstLineChars="200"/>
        <w:jc w:val="left"/>
        <w:rPr>
          <w:rFonts w:hint="eastAsia" w:ascii="宋体" w:hAnsi="宋体" w:eastAsia="宋体" w:cs="宋体"/>
          <w:b w:val="0"/>
          <w:bCs w:val="0"/>
          <w:spacing w:val="-6"/>
          <w:sz w:val="21"/>
          <w:szCs w:val="21"/>
          <w:highlight w:val="none"/>
        </w:rPr>
      </w:pPr>
      <w:r>
        <w:rPr>
          <w:rFonts w:hint="eastAsia" w:ascii="宋体" w:hAnsi="宋体" w:cs="宋体"/>
          <w:b w:val="0"/>
          <w:bCs w:val="0"/>
          <w:spacing w:val="-6"/>
          <w:sz w:val="21"/>
          <w:szCs w:val="21"/>
          <w:highlight w:val="none"/>
          <w:lang w:val="en-US" w:eastAsia="zh-CN"/>
        </w:rPr>
        <w:t>9</w:t>
      </w:r>
      <w:r>
        <w:rPr>
          <w:rFonts w:hint="eastAsia" w:ascii="宋体" w:hAnsi="宋体" w:eastAsia="宋体" w:cs="宋体"/>
          <w:b w:val="0"/>
          <w:bCs w:val="0"/>
          <w:spacing w:val="-6"/>
          <w:sz w:val="21"/>
          <w:szCs w:val="21"/>
          <w:highlight w:val="none"/>
        </w:rPr>
        <w:t>.“公章”除特殊说明外系指浙江省公款竞争性存放网上招标平台（https://gkcf-login.czt.zj.gov.cn）中投标人的电子签章或投标人公章；</w:t>
      </w:r>
    </w:p>
    <w:p w14:paraId="0F008D75">
      <w:pPr>
        <w:spacing w:line="360" w:lineRule="auto"/>
        <w:ind w:firstLine="396" w:firstLineChars="200"/>
        <w:jc w:val="left"/>
        <w:rPr>
          <w:rFonts w:hint="eastAsia" w:ascii="宋体" w:hAnsi="宋体" w:eastAsia="宋体" w:cs="宋体"/>
          <w:b/>
          <w:bCs/>
          <w:spacing w:val="-6"/>
          <w:sz w:val="21"/>
          <w:szCs w:val="21"/>
          <w:highlight w:val="none"/>
        </w:rPr>
      </w:pPr>
      <w:r>
        <w:rPr>
          <w:rFonts w:hint="eastAsia" w:ascii="宋体" w:hAnsi="宋体" w:cs="宋体"/>
          <w:spacing w:val="-6"/>
          <w:sz w:val="21"/>
          <w:szCs w:val="21"/>
          <w:highlight w:val="none"/>
          <w:lang w:val="en-US" w:eastAsia="zh-CN"/>
        </w:rPr>
        <w:t>10</w:t>
      </w:r>
      <w:r>
        <w:rPr>
          <w:rFonts w:hint="eastAsia" w:ascii="宋体" w:hAnsi="宋体" w:eastAsia="宋体" w:cs="宋体"/>
          <w:spacing w:val="-6"/>
          <w:sz w:val="21"/>
          <w:szCs w:val="21"/>
          <w:highlight w:val="none"/>
        </w:rPr>
        <w:t>.</w:t>
      </w:r>
      <w:r>
        <w:rPr>
          <w:rFonts w:hint="eastAsia" w:ascii="宋体" w:hAnsi="宋体" w:eastAsia="宋体" w:cs="宋体"/>
          <w:b/>
          <w:bCs/>
          <w:spacing w:val="-6"/>
          <w:sz w:val="21"/>
          <w:szCs w:val="21"/>
          <w:highlight w:val="none"/>
        </w:rPr>
        <w:t>本招标文件内，凡标注“▲”号的条款或指标（如有）为关键条款或指标，投标人必须给予高度重视，并给出明确和详尽的响应。否则，有可能导致其投标被否决。</w:t>
      </w:r>
    </w:p>
    <w:p w14:paraId="7F7FA7EC">
      <w:pPr>
        <w:spacing w:line="360" w:lineRule="auto"/>
        <w:ind w:firstLine="396" w:firstLineChars="200"/>
        <w:jc w:val="left"/>
        <w:rPr>
          <w:rFonts w:hint="eastAsia" w:ascii="宋体" w:hAnsi="宋体" w:eastAsia="宋体" w:cs="宋体"/>
          <w:b w:val="0"/>
          <w:bCs w:val="0"/>
          <w:spacing w:val="-6"/>
          <w:sz w:val="21"/>
          <w:szCs w:val="21"/>
          <w:highlight w:val="none"/>
        </w:rPr>
      </w:pPr>
      <w:r>
        <w:rPr>
          <w:rFonts w:hint="eastAsia" w:ascii="宋体" w:hAnsi="宋体" w:cs="宋体"/>
          <w:b w:val="0"/>
          <w:bCs w:val="0"/>
          <w:spacing w:val="-6"/>
          <w:sz w:val="21"/>
          <w:szCs w:val="21"/>
          <w:highlight w:val="none"/>
          <w:lang w:val="en-US" w:eastAsia="zh-CN"/>
        </w:rPr>
        <w:t>11.</w:t>
      </w:r>
      <w:r>
        <w:rPr>
          <w:rFonts w:hint="eastAsia" w:ascii="宋体" w:hAnsi="宋体" w:eastAsia="宋体" w:cs="宋体"/>
          <w:b w:val="0"/>
          <w:bCs w:val="0"/>
          <w:spacing w:val="-6"/>
          <w:sz w:val="21"/>
          <w:szCs w:val="21"/>
          <w:highlight w:val="none"/>
        </w:rPr>
        <w:t xml:space="preserve"> 投标人购买招标文件后，必须按照国家保密法以及保密工作的相关规定，对招标文件内容应承担保密义务，维护招标人的权益，若发生窃密、泄密事件给招标人造成不便和任何损失的，则投标人应承担相应的法律责任。</w:t>
      </w:r>
    </w:p>
    <w:p w14:paraId="1ACF6AF0">
      <w:pPr>
        <w:spacing w:line="360" w:lineRule="auto"/>
        <w:ind w:firstLine="396" w:firstLineChars="200"/>
        <w:jc w:val="left"/>
        <w:rPr>
          <w:rFonts w:hint="eastAsia" w:ascii="宋体" w:hAnsi="宋体" w:eastAsia="宋体" w:cs="宋体"/>
          <w:b w:val="0"/>
          <w:bCs w:val="0"/>
          <w:spacing w:val="-6"/>
          <w:sz w:val="21"/>
          <w:szCs w:val="21"/>
          <w:highlight w:val="none"/>
        </w:rPr>
      </w:pPr>
      <w:r>
        <w:rPr>
          <w:rFonts w:hint="eastAsia" w:ascii="宋体" w:hAnsi="宋体" w:cs="宋体"/>
          <w:b w:val="0"/>
          <w:bCs w:val="0"/>
          <w:spacing w:val="-6"/>
          <w:sz w:val="21"/>
          <w:szCs w:val="21"/>
          <w:highlight w:val="none"/>
          <w:lang w:val="en-US" w:eastAsia="zh-CN"/>
        </w:rPr>
        <w:t>12.</w:t>
      </w:r>
      <w:r>
        <w:rPr>
          <w:rFonts w:hint="eastAsia" w:ascii="宋体" w:hAnsi="宋体" w:eastAsia="宋体" w:cs="宋体"/>
          <w:b w:val="0"/>
          <w:bCs w:val="0"/>
          <w:spacing w:val="-6"/>
          <w:sz w:val="21"/>
          <w:szCs w:val="21"/>
          <w:highlight w:val="none"/>
        </w:rPr>
        <w:t xml:space="preserve"> 投标人须对其所投方案、技术和服务等拥有合法的占有和处置权，并对因其投标内容可能引发的侵权行为指控负责，保证不伤害招标人的利益。在法律范围内，如果出现文字、图片、商标和技术等侵权行为而造成的纠纷和产生的一切费用，招标人概不负责，由此给招标人造成损失的，投标人应承担相应后果，并负责赔偿。投标人为执行本项目合同而提供的技术资料归招标人所有。</w:t>
      </w:r>
    </w:p>
    <w:p w14:paraId="1EC693D4">
      <w:pPr>
        <w:spacing w:line="360" w:lineRule="auto"/>
        <w:jc w:val="left"/>
        <w:rPr>
          <w:rFonts w:hint="eastAsia" w:ascii="宋体" w:hAnsi="宋体" w:eastAsia="宋体" w:cs="宋体"/>
          <w:b/>
          <w:spacing w:val="-6"/>
          <w:sz w:val="24"/>
          <w:highlight w:val="none"/>
        </w:rPr>
      </w:pPr>
      <w:r>
        <w:rPr>
          <w:rFonts w:hint="eastAsia" w:ascii="宋体" w:hAnsi="宋体" w:eastAsia="宋体" w:cs="宋体"/>
          <w:b/>
          <w:spacing w:val="-6"/>
          <w:sz w:val="24"/>
          <w:highlight w:val="none"/>
        </w:rPr>
        <w:t>（三） 招标方式</w:t>
      </w:r>
    </w:p>
    <w:p w14:paraId="760B85B4">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本次招标采用公开招标方式进行。</w:t>
      </w:r>
    </w:p>
    <w:p w14:paraId="528C709E">
      <w:pPr>
        <w:spacing w:line="360" w:lineRule="auto"/>
        <w:jc w:val="left"/>
        <w:rPr>
          <w:rFonts w:hint="eastAsia" w:ascii="宋体" w:hAnsi="宋体" w:eastAsia="宋体" w:cs="宋体"/>
          <w:b/>
          <w:spacing w:val="-6"/>
          <w:sz w:val="24"/>
          <w:highlight w:val="none"/>
        </w:rPr>
      </w:pPr>
      <w:r>
        <w:rPr>
          <w:rFonts w:hint="eastAsia" w:ascii="宋体" w:hAnsi="宋体" w:eastAsia="宋体" w:cs="宋体"/>
          <w:b/>
          <w:spacing w:val="-6"/>
          <w:sz w:val="24"/>
          <w:highlight w:val="none"/>
        </w:rPr>
        <w:t>（四） 投标委托</w:t>
      </w:r>
    </w:p>
    <w:p w14:paraId="403BC2EC">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如投标人代表不是企业负责人，须有</w:t>
      </w:r>
      <w:r>
        <w:rPr>
          <w:rFonts w:hint="eastAsia" w:ascii="宋体" w:hAnsi="宋体" w:eastAsia="宋体" w:cs="宋体"/>
          <w:bCs/>
          <w:spacing w:val="-6"/>
          <w:sz w:val="21"/>
          <w:szCs w:val="21"/>
          <w:highlight w:val="none"/>
        </w:rPr>
        <w:t>附有企业负责人资格证明书的企业负责人授权委托书</w:t>
      </w:r>
      <w:r>
        <w:rPr>
          <w:rFonts w:hint="eastAsia" w:ascii="宋体" w:hAnsi="宋体" w:eastAsia="宋体" w:cs="宋体"/>
          <w:spacing w:val="-6"/>
          <w:sz w:val="21"/>
          <w:szCs w:val="21"/>
          <w:highlight w:val="none"/>
        </w:rPr>
        <w:t>（详见投标文件格式）。</w:t>
      </w:r>
    </w:p>
    <w:p w14:paraId="27430FF2">
      <w:pPr>
        <w:spacing w:line="360" w:lineRule="auto"/>
        <w:jc w:val="left"/>
        <w:rPr>
          <w:rFonts w:hint="eastAsia" w:ascii="宋体" w:hAnsi="宋体" w:eastAsia="宋体" w:cs="宋体"/>
          <w:b/>
          <w:spacing w:val="-6"/>
          <w:sz w:val="24"/>
          <w:highlight w:val="none"/>
        </w:rPr>
      </w:pPr>
      <w:r>
        <w:rPr>
          <w:rFonts w:hint="eastAsia" w:ascii="宋体" w:hAnsi="宋体" w:eastAsia="宋体" w:cs="宋体"/>
          <w:b/>
          <w:spacing w:val="-6"/>
          <w:sz w:val="24"/>
          <w:highlight w:val="none"/>
        </w:rPr>
        <w:t>（五） 投标费用</w:t>
      </w:r>
    </w:p>
    <w:p w14:paraId="7F39ED6B">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1.不论投标结果如何，投标人均应自行承担所有与投标有关的全部费用；</w:t>
      </w:r>
    </w:p>
    <w:p w14:paraId="57AB0C62">
      <w:pPr>
        <w:spacing w:line="360" w:lineRule="auto"/>
        <w:ind w:firstLine="396" w:firstLineChars="200"/>
        <w:jc w:val="left"/>
        <w:rPr>
          <w:rFonts w:hint="eastAsia" w:ascii="宋体" w:hAnsi="宋体" w:eastAsia="宋体" w:cs="宋体"/>
          <w:spacing w:val="-6"/>
          <w:sz w:val="21"/>
          <w:szCs w:val="21"/>
          <w:highlight w:val="none"/>
          <w:lang w:val="en-US" w:eastAsia="zh-CN"/>
        </w:rPr>
      </w:pPr>
      <w:r>
        <w:rPr>
          <w:rFonts w:hint="eastAsia" w:ascii="宋体" w:hAnsi="宋体" w:eastAsia="宋体" w:cs="宋体"/>
          <w:spacing w:val="-6"/>
          <w:sz w:val="21"/>
          <w:szCs w:val="21"/>
          <w:highlight w:val="none"/>
        </w:rPr>
        <w:t>2.中标人在中标通知书发出后七个工作日内，每家入围银行向招标代理机构交纳代理服务费，收费标准：</w:t>
      </w:r>
      <w:r>
        <w:rPr>
          <w:rFonts w:hint="eastAsia" w:ascii="宋体" w:hAnsi="宋体" w:eastAsia="宋体" w:cs="宋体"/>
          <w:spacing w:val="-6"/>
          <w:sz w:val="21"/>
          <w:szCs w:val="21"/>
          <w:highlight w:val="none"/>
          <w:lang w:val="en-US" w:eastAsia="zh-CN"/>
        </w:rPr>
        <w:t>人民币10000元/家。</w:t>
      </w:r>
    </w:p>
    <w:p w14:paraId="7C1C292D">
      <w:pPr>
        <w:spacing w:line="360" w:lineRule="auto"/>
        <w:jc w:val="left"/>
        <w:rPr>
          <w:rFonts w:hint="eastAsia" w:ascii="宋体" w:hAnsi="宋体" w:eastAsia="宋体" w:cs="宋体"/>
          <w:b/>
          <w:spacing w:val="-6"/>
          <w:sz w:val="24"/>
          <w:highlight w:val="none"/>
        </w:rPr>
      </w:pPr>
      <w:r>
        <w:rPr>
          <w:rFonts w:hint="eastAsia" w:ascii="宋体" w:hAnsi="宋体" w:eastAsia="宋体" w:cs="宋体"/>
          <w:b/>
          <w:spacing w:val="-6"/>
          <w:sz w:val="24"/>
          <w:highlight w:val="none"/>
        </w:rPr>
        <w:t>（六） 联合体投标</w:t>
      </w:r>
    </w:p>
    <w:p w14:paraId="50F07146">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本项目不接受联合体投标。</w:t>
      </w:r>
    </w:p>
    <w:p w14:paraId="13E5D6BD">
      <w:pPr>
        <w:spacing w:line="360" w:lineRule="auto"/>
        <w:jc w:val="left"/>
        <w:rPr>
          <w:rFonts w:hint="eastAsia" w:ascii="宋体" w:hAnsi="宋体" w:eastAsia="宋体" w:cs="宋体"/>
          <w:b/>
          <w:spacing w:val="-6"/>
          <w:sz w:val="24"/>
          <w:highlight w:val="none"/>
        </w:rPr>
      </w:pPr>
      <w:r>
        <w:rPr>
          <w:rFonts w:hint="eastAsia" w:ascii="宋体" w:hAnsi="宋体" w:eastAsia="宋体" w:cs="宋体"/>
          <w:b/>
          <w:spacing w:val="-6"/>
          <w:sz w:val="24"/>
          <w:highlight w:val="none"/>
        </w:rPr>
        <w:t>（七） 转包</w:t>
      </w:r>
    </w:p>
    <w:p w14:paraId="53770D96">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本项目不允许转包。</w:t>
      </w:r>
    </w:p>
    <w:p w14:paraId="63C8E506">
      <w:pPr>
        <w:spacing w:line="360" w:lineRule="auto"/>
        <w:rPr>
          <w:rFonts w:hint="eastAsia" w:ascii="宋体" w:hAnsi="宋体" w:eastAsia="宋体" w:cs="宋体"/>
          <w:b/>
          <w:spacing w:val="-6"/>
          <w:kern w:val="0"/>
          <w:sz w:val="24"/>
          <w:highlight w:val="none"/>
        </w:rPr>
      </w:pPr>
      <w:r>
        <w:rPr>
          <w:rFonts w:hint="eastAsia" w:ascii="宋体" w:hAnsi="宋体" w:eastAsia="宋体" w:cs="宋体"/>
          <w:b/>
          <w:spacing w:val="-6"/>
          <w:kern w:val="0"/>
          <w:sz w:val="24"/>
          <w:highlight w:val="none"/>
        </w:rPr>
        <w:t>（八） 特别说明</w:t>
      </w:r>
    </w:p>
    <w:p w14:paraId="41396F76">
      <w:pPr>
        <w:pStyle w:val="10"/>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▲1.投标人应仔细阅读招标文件的所有内容，按照招标文件的要求提交投标文件，并对所提供的全部资料的真实性承担法律责任。</w:t>
      </w:r>
    </w:p>
    <w:p w14:paraId="4E84FBB0">
      <w:pPr>
        <w:pStyle w:val="10"/>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▲2.单位负责人为同一人或者存在直接控股、管理关系的不同供应商，不得参加同一合同项下的采购活动。</w:t>
      </w:r>
    </w:p>
    <w:p w14:paraId="465FF15F">
      <w:pPr>
        <w:pStyle w:val="10"/>
        <w:spacing w:line="360" w:lineRule="auto"/>
        <w:ind w:firstLine="0"/>
        <w:jc w:val="center"/>
        <w:outlineLvl w:val="1"/>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br w:type="page"/>
      </w:r>
      <w:r>
        <w:rPr>
          <w:rFonts w:hint="eastAsia" w:ascii="宋体" w:hAnsi="宋体" w:eastAsia="宋体" w:cs="宋体"/>
          <w:b/>
          <w:spacing w:val="-6"/>
          <w:sz w:val="32"/>
          <w:szCs w:val="32"/>
          <w:highlight w:val="none"/>
        </w:rPr>
        <w:t>二、招标文件</w:t>
      </w:r>
    </w:p>
    <w:p w14:paraId="0B66EF7A">
      <w:pPr>
        <w:spacing w:line="360" w:lineRule="auto"/>
        <w:jc w:val="left"/>
        <w:rPr>
          <w:rFonts w:hint="eastAsia" w:ascii="宋体" w:hAnsi="宋体" w:eastAsia="宋体" w:cs="宋体"/>
          <w:b/>
          <w:spacing w:val="-6"/>
          <w:sz w:val="24"/>
          <w:highlight w:val="none"/>
        </w:rPr>
      </w:pPr>
      <w:r>
        <w:rPr>
          <w:rFonts w:hint="eastAsia" w:ascii="宋体" w:hAnsi="宋体" w:eastAsia="宋体" w:cs="宋体"/>
          <w:b/>
          <w:spacing w:val="-6"/>
          <w:sz w:val="24"/>
          <w:highlight w:val="none"/>
        </w:rPr>
        <w:t>（一） 招标文件的构成。本招标文件由以下部分组成：</w:t>
      </w:r>
    </w:p>
    <w:p w14:paraId="79FE7429">
      <w:pPr>
        <w:pStyle w:val="10"/>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1.招标公告</w:t>
      </w:r>
    </w:p>
    <w:p w14:paraId="5990265E">
      <w:pPr>
        <w:pStyle w:val="10"/>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2.招标需求</w:t>
      </w:r>
    </w:p>
    <w:p w14:paraId="248D7893">
      <w:pPr>
        <w:pStyle w:val="10"/>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3.投标人须知</w:t>
      </w:r>
    </w:p>
    <w:p w14:paraId="1D281534">
      <w:pPr>
        <w:pStyle w:val="10"/>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4.评标办法及评分标准</w:t>
      </w:r>
    </w:p>
    <w:p w14:paraId="4113B043">
      <w:pPr>
        <w:pStyle w:val="10"/>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5.拟签订的协议文本</w:t>
      </w:r>
    </w:p>
    <w:p w14:paraId="5015269F">
      <w:pPr>
        <w:pStyle w:val="10"/>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6.投标文件格式</w:t>
      </w:r>
    </w:p>
    <w:p w14:paraId="6DE060D8">
      <w:pPr>
        <w:pStyle w:val="10"/>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7.本项目招标文件的澄清、答复、修改、补充的内容</w:t>
      </w:r>
    </w:p>
    <w:p w14:paraId="4874972F">
      <w:pPr>
        <w:spacing w:line="360" w:lineRule="auto"/>
        <w:jc w:val="left"/>
        <w:rPr>
          <w:rFonts w:hint="eastAsia" w:ascii="宋体" w:hAnsi="宋体" w:eastAsia="宋体" w:cs="宋体"/>
          <w:spacing w:val="-6"/>
          <w:sz w:val="24"/>
          <w:highlight w:val="none"/>
        </w:rPr>
      </w:pPr>
      <w:r>
        <w:rPr>
          <w:rFonts w:hint="eastAsia" w:ascii="宋体" w:hAnsi="宋体" w:eastAsia="宋体" w:cs="宋体"/>
          <w:b/>
          <w:spacing w:val="-6"/>
          <w:sz w:val="24"/>
          <w:highlight w:val="none"/>
        </w:rPr>
        <w:t>（二） 投标人的风险</w:t>
      </w:r>
    </w:p>
    <w:p w14:paraId="73946421">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投标人获取招标文件后，应仔细检查招标文件的所有内容，如有残缺应向招标人提出，否则，由此引起的投标损失自负；投标人同时应认真审阅招标文件中所有的事项、格式、条款和规范要求等，如果投标人的响应文件没有按照招标文件要求提交全部资料或者响应文件没有对招标文件做出实质性响应，其风险应由投标人自行承担并根据有关条款规定，其投标有可能被拒绝。</w:t>
      </w:r>
    </w:p>
    <w:p w14:paraId="7F77C98E">
      <w:pPr>
        <w:spacing w:line="360" w:lineRule="auto"/>
        <w:jc w:val="left"/>
        <w:rPr>
          <w:rFonts w:hint="eastAsia" w:ascii="宋体" w:hAnsi="宋体" w:eastAsia="宋体" w:cs="宋体"/>
          <w:b/>
          <w:spacing w:val="-6"/>
          <w:sz w:val="24"/>
          <w:highlight w:val="none"/>
        </w:rPr>
      </w:pPr>
      <w:r>
        <w:rPr>
          <w:rFonts w:hint="eastAsia" w:ascii="宋体" w:hAnsi="宋体" w:eastAsia="宋体" w:cs="宋体"/>
          <w:b/>
          <w:spacing w:val="-6"/>
          <w:sz w:val="24"/>
          <w:highlight w:val="none"/>
        </w:rPr>
        <w:t>（三） 招标文件的澄清与修改</w:t>
      </w:r>
    </w:p>
    <w:p w14:paraId="0E7B721C">
      <w:pPr>
        <w:pStyle w:val="10"/>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1.招标人或者招标代理机构可以对已发出的招标文件进行必要的澄清或者修改，澄清或者修改会在原公告发布媒体上发布澄清公告，澄清或者修改的内容为招标文件的组成部分。</w:t>
      </w:r>
    </w:p>
    <w:p w14:paraId="06CA519A">
      <w:pPr>
        <w:pStyle w:val="10"/>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澄清或者修改的内容可能影响投标文件编制的，招标人或者招标代理机构会在投标截止时间至少5个工作日前，以书面形式通知所有获取招标文件的潜在投标人；不足5个工作日的，招标人或者招标代理机构会顺延提交投标文件的截止时间。</w:t>
      </w:r>
    </w:p>
    <w:p w14:paraId="43CC23AD">
      <w:pPr>
        <w:pStyle w:val="10"/>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招标文件的修改将以书面形式通知所有购买招标文件的投标人，并对其具有约束力。投标人在收到上述通知后，应立即向招标代理机构回函确认。若无书面回函确认，视同投标人已收到招标文件修改的通知，并受其约束。</w:t>
      </w:r>
    </w:p>
    <w:p w14:paraId="335AA0DC">
      <w:pPr>
        <w:pStyle w:val="10"/>
        <w:spacing w:line="360" w:lineRule="auto"/>
        <w:ind w:firstLine="0"/>
        <w:jc w:val="center"/>
        <w:outlineLvl w:val="1"/>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br w:type="page"/>
      </w:r>
      <w:r>
        <w:rPr>
          <w:rFonts w:hint="eastAsia" w:ascii="宋体" w:hAnsi="宋体" w:eastAsia="宋体" w:cs="宋体"/>
          <w:b/>
          <w:spacing w:val="-6"/>
          <w:sz w:val="32"/>
          <w:szCs w:val="32"/>
          <w:highlight w:val="none"/>
        </w:rPr>
        <w:t>三、投标文件的编制</w:t>
      </w:r>
    </w:p>
    <w:p w14:paraId="1816EFBB">
      <w:pPr>
        <w:spacing w:line="360" w:lineRule="auto"/>
        <w:jc w:val="left"/>
        <w:rPr>
          <w:rFonts w:hint="eastAsia" w:ascii="宋体" w:hAnsi="宋体" w:eastAsia="宋体" w:cs="宋体"/>
          <w:b/>
          <w:spacing w:val="-6"/>
          <w:sz w:val="24"/>
          <w:highlight w:val="none"/>
        </w:rPr>
      </w:pPr>
      <w:r>
        <w:rPr>
          <w:rFonts w:hint="eastAsia" w:ascii="宋体" w:hAnsi="宋体" w:eastAsia="宋体" w:cs="宋体"/>
          <w:b/>
          <w:spacing w:val="-6"/>
          <w:sz w:val="24"/>
          <w:highlight w:val="none"/>
        </w:rPr>
        <w:t>（一） 投标文件的组成</w:t>
      </w:r>
    </w:p>
    <w:p w14:paraId="3121F4B1">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投标文件由：资格文件、报价文件、商务和技术文件组成（格式详见招标文件第六章）。</w:t>
      </w:r>
    </w:p>
    <w:p w14:paraId="10563655">
      <w:pPr>
        <w:spacing w:line="360" w:lineRule="auto"/>
        <w:ind w:firstLine="398" w:firstLineChars="200"/>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1.资格文件（报名登记部分）：</w:t>
      </w:r>
    </w:p>
    <w:p w14:paraId="04B0AD0D">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（1）有效的法人或者其他组织的营业执照等证明文件（扫描件加盖公章）、中华人民共和国金融许可证（扫描件加盖公章）</w:t>
      </w:r>
    </w:p>
    <w:p w14:paraId="5503CA7C">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（2）中标后对本项目指定的一家杭州市区分支机构作为存款银行的承诺书，承诺在合同期内不得随意转移（包含但不限于杭分支机构的地址，联系人等信息）（格式自拟）</w:t>
      </w:r>
    </w:p>
    <w:p w14:paraId="7DFD24F6">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（3）参加采购活动前3年内在经营活动中没有重大违法记录的书面声明（格式自拟）</w:t>
      </w:r>
    </w:p>
    <w:p w14:paraId="3F51FDC9">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（4）上一年度由人民银行出具综合评价证明材料（</w:t>
      </w:r>
      <w:r>
        <w:rPr>
          <w:rFonts w:hint="eastAsia" w:ascii="宋体" w:hAnsi="宋体" w:eastAsia="宋体" w:cs="宋体"/>
          <w:sz w:val="21"/>
          <w:szCs w:val="21"/>
          <w:highlight w:val="none"/>
        </w:rPr>
        <w:t>如因人民银行原因无法提供上年度（202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年度）的综合评价可提供202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年度的材料文件，并说明无法提供202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年度人民银行的综合评价的相关原因，出具机构对证明的真实性负责，不得虚假提供，虚假提供一经发现则取消中标资格。</w:t>
      </w:r>
      <w:r>
        <w:rPr>
          <w:rFonts w:hint="eastAsia" w:ascii="宋体" w:hAnsi="宋体" w:eastAsia="宋体" w:cs="宋体"/>
          <w:spacing w:val="-6"/>
          <w:sz w:val="21"/>
          <w:szCs w:val="21"/>
          <w:highlight w:val="none"/>
        </w:rPr>
        <w:t>）</w:t>
      </w:r>
    </w:p>
    <w:p w14:paraId="7EAB1788">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（5）提供投标人为省级分行的声明书或省级分行针对本项目的授权委托书（投标人为总行无需提供）</w:t>
      </w:r>
    </w:p>
    <w:p w14:paraId="5F3CF48F">
      <w:pPr>
        <w:spacing w:line="360" w:lineRule="auto"/>
        <w:ind w:firstLine="420" w:firstLineChars="200"/>
        <w:rPr>
          <w:rFonts w:hint="eastAsia"/>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若本项目投标银行中标</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前期公款竞争性存放项目，则</w:t>
      </w:r>
      <w:r>
        <w:rPr>
          <w:rFonts w:hint="eastAsia" w:ascii="宋体" w:hAnsi="宋体" w:eastAsia="宋体" w:cs="宋体"/>
          <w:sz w:val="21"/>
          <w:szCs w:val="21"/>
          <w:highlight w:val="none"/>
          <w:lang w:val="en-US" w:eastAsia="zh-CN"/>
        </w:rPr>
        <w:t>需要提供</w:t>
      </w:r>
      <w:r>
        <w:rPr>
          <w:rFonts w:hint="eastAsia" w:ascii="宋体" w:hAnsi="宋体" w:cs="宋体"/>
          <w:sz w:val="21"/>
          <w:szCs w:val="21"/>
          <w:highlight w:val="none"/>
          <w:lang w:val="en-US" w:eastAsia="zh-CN"/>
        </w:rPr>
        <w:t>其</w:t>
      </w:r>
      <w:r>
        <w:rPr>
          <w:rFonts w:hint="eastAsia" w:ascii="宋体" w:hAnsi="宋体" w:eastAsia="宋体" w:cs="宋体"/>
          <w:sz w:val="21"/>
          <w:szCs w:val="21"/>
          <w:highlight w:val="none"/>
        </w:rPr>
        <w:t>在本项目开标前</w:t>
      </w:r>
      <w:r>
        <w:rPr>
          <w:rFonts w:hint="eastAsia" w:ascii="宋体" w:hAnsi="宋体" w:eastAsia="宋体" w:cs="宋体"/>
          <w:sz w:val="21"/>
          <w:szCs w:val="21"/>
          <w:highlight w:val="none"/>
          <w:lang w:val="en-US" w:eastAsia="zh-CN"/>
        </w:rPr>
        <w:t>已</w:t>
      </w:r>
      <w:r>
        <w:rPr>
          <w:rFonts w:hint="eastAsia" w:ascii="宋体" w:hAnsi="宋体" w:eastAsia="宋体" w:cs="宋体"/>
          <w:sz w:val="21"/>
          <w:szCs w:val="21"/>
          <w:highlight w:val="none"/>
        </w:rPr>
        <w:t>履行完成</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前期公款竞争性存放项目中标时的相关承诺</w:t>
      </w:r>
      <w:r>
        <w:rPr>
          <w:rFonts w:hint="eastAsia" w:ascii="宋体" w:hAnsi="宋体" w:eastAsia="宋体" w:cs="宋体"/>
          <w:sz w:val="21"/>
          <w:szCs w:val="21"/>
          <w:highlight w:val="none"/>
          <w:lang w:val="en-US" w:eastAsia="zh-CN"/>
        </w:rPr>
        <w:t>的承诺函</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并由招标人盖章</w:t>
      </w:r>
      <w:r>
        <w:rPr>
          <w:rFonts w:hint="eastAsia" w:ascii="宋体" w:hAnsi="宋体" w:eastAsia="宋体" w:cs="宋体"/>
          <w:sz w:val="21"/>
          <w:szCs w:val="21"/>
          <w:highlight w:val="none"/>
        </w:rPr>
        <w:t>。</w:t>
      </w:r>
    </w:p>
    <w:p w14:paraId="090F398D">
      <w:pPr>
        <w:spacing w:line="360" w:lineRule="auto"/>
        <w:ind w:firstLine="398" w:firstLineChars="200"/>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2.报价文件：</w:t>
      </w:r>
    </w:p>
    <w:p w14:paraId="6797442D">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（1）开标一览表</w:t>
      </w:r>
    </w:p>
    <w:p w14:paraId="5B9FCF6D">
      <w:pPr>
        <w:snapToGrid w:val="0"/>
        <w:spacing w:line="360" w:lineRule="auto"/>
        <w:ind w:firstLine="398" w:firstLineChars="200"/>
        <w:jc w:val="left"/>
        <w:rPr>
          <w:rFonts w:hint="eastAsia" w:ascii="宋体" w:hAnsi="宋体" w:eastAsia="宋体" w:cs="宋体"/>
          <w:b/>
          <w:spacing w:val="-6"/>
          <w:sz w:val="21"/>
          <w:szCs w:val="21"/>
          <w:highlight w:val="none"/>
        </w:rPr>
      </w:pPr>
      <w:r>
        <w:rPr>
          <w:rFonts w:hint="eastAsia" w:ascii="宋体" w:hAnsi="宋体" w:eastAsia="宋体" w:cs="宋体"/>
          <w:b/>
          <w:spacing w:val="-6"/>
          <w:sz w:val="21"/>
          <w:szCs w:val="21"/>
          <w:highlight w:val="none"/>
        </w:rPr>
        <w:t>3.商务和技术文件：</w:t>
      </w:r>
    </w:p>
    <w:p w14:paraId="7612F821">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lang w:val="en-US" w:eastAsia="zh-CN"/>
        </w:rPr>
        <w:t>1</w:t>
      </w:r>
      <w:r>
        <w:rPr>
          <w:rFonts w:hint="eastAsia" w:ascii="宋体" w:hAnsi="宋体" w:eastAsia="宋体" w:cs="宋体"/>
          <w:spacing w:val="-6"/>
          <w:sz w:val="21"/>
          <w:szCs w:val="21"/>
          <w:highlight w:val="none"/>
        </w:rPr>
        <w:t>）投标函</w:t>
      </w:r>
    </w:p>
    <w:p w14:paraId="00DBE14E">
      <w:pPr>
        <w:spacing w:line="360" w:lineRule="auto"/>
        <w:ind w:firstLine="396" w:firstLineChars="200"/>
        <w:rPr>
          <w:rFonts w:hint="eastAsia" w:ascii="宋体" w:hAnsi="宋体" w:eastAsia="宋体" w:cs="宋体"/>
          <w:b/>
          <w:spacing w:val="-6"/>
          <w:sz w:val="21"/>
          <w:szCs w:val="21"/>
          <w:highlight w:val="none"/>
        </w:rPr>
      </w:pP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lang w:val="en-US" w:eastAsia="zh-CN"/>
        </w:rPr>
        <w:t>2</w:t>
      </w:r>
      <w:r>
        <w:rPr>
          <w:rFonts w:hint="eastAsia" w:ascii="宋体" w:hAnsi="宋体" w:eastAsia="宋体" w:cs="宋体"/>
          <w:spacing w:val="-6"/>
          <w:sz w:val="21"/>
          <w:szCs w:val="21"/>
          <w:highlight w:val="none"/>
        </w:rPr>
        <w:t>）企业负责人资格证明书</w:t>
      </w:r>
    </w:p>
    <w:p w14:paraId="4680C758">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lang w:val="en-US" w:eastAsia="zh-CN"/>
        </w:rPr>
        <w:t>3</w:t>
      </w:r>
      <w:r>
        <w:rPr>
          <w:rFonts w:hint="eastAsia" w:ascii="宋体" w:hAnsi="宋体" w:eastAsia="宋体" w:cs="宋体"/>
          <w:spacing w:val="-6"/>
          <w:sz w:val="21"/>
          <w:szCs w:val="21"/>
          <w:highlight w:val="none"/>
        </w:rPr>
        <w:t>）企业负责人授权委托书</w:t>
      </w:r>
    </w:p>
    <w:p w14:paraId="048863A7">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lang w:val="en-US" w:eastAsia="zh-CN"/>
        </w:rPr>
        <w:t>4</w:t>
      </w:r>
      <w:r>
        <w:rPr>
          <w:rFonts w:hint="eastAsia" w:ascii="宋体" w:hAnsi="宋体" w:eastAsia="宋体" w:cs="宋体"/>
          <w:spacing w:val="-6"/>
          <w:sz w:val="21"/>
          <w:szCs w:val="21"/>
          <w:highlight w:val="none"/>
        </w:rPr>
        <w:t>）投标声明书</w:t>
      </w:r>
    </w:p>
    <w:p w14:paraId="478A7061">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lang w:val="en-US" w:eastAsia="zh-CN"/>
        </w:rPr>
        <w:t>5</w:t>
      </w:r>
      <w:r>
        <w:rPr>
          <w:rFonts w:hint="eastAsia" w:ascii="宋体" w:hAnsi="宋体" w:eastAsia="宋体" w:cs="宋体"/>
          <w:spacing w:val="-6"/>
          <w:sz w:val="21"/>
          <w:szCs w:val="21"/>
          <w:highlight w:val="none"/>
        </w:rPr>
        <w:t>）廉政承诺书</w:t>
      </w:r>
    </w:p>
    <w:p w14:paraId="162D081D">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lang w:val="en-US" w:eastAsia="zh-CN"/>
        </w:rPr>
        <w:t>6</w:t>
      </w:r>
      <w:r>
        <w:rPr>
          <w:rFonts w:hint="eastAsia" w:ascii="宋体" w:hAnsi="宋体" w:eastAsia="宋体" w:cs="宋体"/>
          <w:spacing w:val="-6"/>
          <w:sz w:val="21"/>
          <w:szCs w:val="21"/>
          <w:highlight w:val="none"/>
        </w:rPr>
        <w:t>）服务承诺对照表</w:t>
      </w:r>
    </w:p>
    <w:p w14:paraId="57A31426">
      <w:pPr>
        <w:spacing w:line="360" w:lineRule="auto"/>
        <w:ind w:firstLine="396" w:firstLineChars="200"/>
        <w:rPr>
          <w:rFonts w:hint="eastAsia" w:ascii="宋体" w:hAnsi="宋体" w:eastAsia="宋体" w:cs="宋体"/>
          <w:color w:val="FF0000"/>
          <w:spacing w:val="-6"/>
          <w:sz w:val="21"/>
          <w:szCs w:val="21"/>
          <w:highlight w:val="none"/>
        </w:rPr>
      </w:pP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lang w:val="en-US" w:eastAsia="zh-CN"/>
        </w:rPr>
        <w:t>7</w:t>
      </w:r>
      <w:r>
        <w:rPr>
          <w:rFonts w:hint="eastAsia" w:ascii="宋体" w:hAnsi="宋体" w:eastAsia="宋体" w:cs="宋体"/>
          <w:spacing w:val="-6"/>
          <w:sz w:val="21"/>
          <w:szCs w:val="21"/>
          <w:highlight w:val="none"/>
        </w:rPr>
        <w:t>）以往金融服务支持情况</w:t>
      </w:r>
      <w:r>
        <w:rPr>
          <w:rFonts w:hint="eastAsia" w:ascii="宋体" w:hAnsi="宋体" w:eastAsia="宋体" w:cs="宋体"/>
          <w:color w:val="auto"/>
          <w:spacing w:val="-6"/>
          <w:sz w:val="21"/>
          <w:szCs w:val="21"/>
          <w:highlight w:val="none"/>
        </w:rPr>
        <w:t>（需经</w:t>
      </w:r>
      <w:r>
        <w:rPr>
          <w:rFonts w:hint="eastAsia" w:ascii="宋体" w:hAnsi="宋体" w:eastAsia="宋体" w:cs="宋体"/>
          <w:color w:val="auto"/>
          <w:spacing w:val="-6"/>
          <w:sz w:val="21"/>
          <w:szCs w:val="21"/>
          <w:highlight w:val="none"/>
          <w:lang w:eastAsia="zh-CN"/>
        </w:rPr>
        <w:t>浙江经贸职业技术学院</w:t>
      </w:r>
      <w:r>
        <w:rPr>
          <w:rFonts w:hint="eastAsia" w:ascii="宋体" w:hAnsi="宋体" w:eastAsia="宋体" w:cs="宋体"/>
          <w:color w:val="auto"/>
          <w:spacing w:val="-6"/>
          <w:sz w:val="21"/>
          <w:szCs w:val="21"/>
          <w:highlight w:val="none"/>
        </w:rPr>
        <w:t>认定）</w:t>
      </w:r>
    </w:p>
    <w:p w14:paraId="26AEBDDB">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lang w:val="en-US" w:eastAsia="zh-CN"/>
        </w:rPr>
        <w:t>8</w:t>
      </w:r>
      <w:r>
        <w:rPr>
          <w:rFonts w:hint="eastAsia" w:ascii="宋体" w:hAnsi="宋体" w:eastAsia="宋体" w:cs="宋体"/>
          <w:spacing w:val="-6"/>
          <w:sz w:val="21"/>
          <w:szCs w:val="21"/>
          <w:highlight w:val="none"/>
        </w:rPr>
        <w:t>）提前用款承诺</w:t>
      </w:r>
    </w:p>
    <w:p w14:paraId="65D1C1B3">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lang w:val="en-US" w:eastAsia="zh-CN"/>
        </w:rPr>
        <w:t>9</w:t>
      </w: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rPr>
        <w:t>服务方案及支持学校建设承诺</w:t>
      </w:r>
    </w:p>
    <w:p w14:paraId="7CF14B85">
      <w:pPr>
        <w:spacing w:line="360" w:lineRule="auto"/>
        <w:jc w:val="left"/>
        <w:rPr>
          <w:rFonts w:hint="eastAsia" w:ascii="宋体" w:hAnsi="宋体" w:eastAsia="宋体" w:cs="宋体"/>
          <w:b/>
          <w:spacing w:val="-6"/>
          <w:sz w:val="24"/>
          <w:highlight w:val="none"/>
        </w:rPr>
      </w:pPr>
      <w:r>
        <w:rPr>
          <w:rFonts w:hint="eastAsia" w:ascii="宋体" w:hAnsi="宋体" w:eastAsia="宋体" w:cs="宋体"/>
          <w:b/>
          <w:spacing w:val="-6"/>
          <w:sz w:val="24"/>
          <w:highlight w:val="none"/>
        </w:rPr>
        <w:t>（二） 投标文件的签署和份数</w:t>
      </w:r>
    </w:p>
    <w:p w14:paraId="452BD143">
      <w:pPr>
        <w:spacing w:line="360" w:lineRule="auto"/>
        <w:ind w:firstLine="396" w:firstLineChars="200"/>
        <w:jc w:val="left"/>
        <w:rPr>
          <w:rFonts w:hint="eastAsia" w:ascii="宋体" w:hAnsi="宋体" w:eastAsia="宋体" w:cs="宋体"/>
          <w:b/>
          <w:bCs/>
          <w:spacing w:val="-6"/>
          <w:sz w:val="21"/>
          <w:szCs w:val="21"/>
          <w:highlight w:val="none"/>
        </w:rPr>
      </w:pPr>
      <w:r>
        <w:rPr>
          <w:rFonts w:hint="eastAsia" w:ascii="宋体" w:hAnsi="宋体" w:eastAsia="宋体" w:cs="宋体"/>
          <w:spacing w:val="-6"/>
          <w:sz w:val="21"/>
          <w:szCs w:val="21"/>
          <w:highlight w:val="none"/>
        </w:rPr>
        <w:t>1.投标人应按照招标文件和浙江省公款竞争性存放网上招标平台（https://gkcf-login.czt.zj.gov.cn）的要求，根据投标文件的组成规定的内容及顺序通过浙江省公款竞争性存放网上招标平台（https://gkcf-login.czt.zj.gov.cn）编制投标文件，投标文件内容不完整、编排混乱导致投标文件被误读、漏读或者查找不到相关内容的，是投标人的责任。</w:t>
      </w:r>
      <w:r>
        <w:rPr>
          <w:rFonts w:hint="eastAsia" w:ascii="宋体" w:hAnsi="宋体" w:eastAsia="宋体" w:cs="宋体"/>
          <w:b/>
          <w:bCs/>
          <w:spacing w:val="-6"/>
          <w:sz w:val="21"/>
          <w:szCs w:val="21"/>
          <w:highlight w:val="none"/>
        </w:rPr>
        <w:t>其中资格文件、商务技术文件中不得出现投标报价，如因投标人原因提前泄露投标报价，是投标人的责任。</w:t>
      </w:r>
    </w:p>
    <w:p w14:paraId="2DD10185">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2.投标文件须由投标人在规定位置加盖公章并由投标人代表签署，投标人应写全称。</w:t>
      </w:r>
    </w:p>
    <w:p w14:paraId="0EA775C1">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3.投标文件不得涂改，若有修改错漏处，须由投标人代表签字并加盖公章。投标文件因字迹潦草或表达不清所引起的后果由投标人负责。</w:t>
      </w:r>
    </w:p>
    <w:p w14:paraId="03FA3777">
      <w:pPr>
        <w:spacing w:line="360" w:lineRule="auto"/>
        <w:ind w:firstLine="398" w:firstLineChars="200"/>
        <w:jc w:val="left"/>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4.投标文件份数：</w:t>
      </w:r>
    </w:p>
    <w:p w14:paraId="39C87177">
      <w:pPr>
        <w:spacing w:line="360" w:lineRule="auto"/>
        <w:ind w:firstLine="398" w:firstLineChars="200"/>
        <w:jc w:val="left"/>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电子投标文件：浙江省公款竞争性存放网上招标平台（https://gkcf-login.czt.zj.gov.cn）在线上传一份。</w:t>
      </w:r>
    </w:p>
    <w:p w14:paraId="34796280">
      <w:pPr>
        <w:spacing w:line="360" w:lineRule="auto"/>
        <w:ind w:firstLine="422" w:firstLineChars="20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备注：</w:t>
      </w:r>
    </w:p>
    <w:p w14:paraId="2E144E7D">
      <w:pPr>
        <w:spacing w:line="360" w:lineRule="auto"/>
        <w:ind w:firstLine="422" w:firstLineChars="200"/>
        <w:jc w:val="left"/>
        <w:rPr>
          <w:rFonts w:hint="eastAsia" w:ascii="宋体" w:hAnsi="宋体" w:eastAsia="宋体" w:cs="宋体"/>
          <w:b/>
          <w:spacing w:val="-6"/>
          <w:sz w:val="24"/>
          <w:highlight w:val="none"/>
        </w:rPr>
      </w:pPr>
      <w:r>
        <w:rPr>
          <w:rFonts w:hint="eastAsia" w:ascii="宋体" w:hAnsi="宋体" w:eastAsia="宋体" w:cs="宋体"/>
          <w:b/>
          <w:bCs/>
          <w:sz w:val="21"/>
          <w:szCs w:val="21"/>
          <w:highlight w:val="none"/>
        </w:rPr>
        <w:t>投标人可通过浙江省“电子交易/不见面开评标”学习专题提前进行专题学习，熟悉操作，避免影响采购活动（</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"https://edu.zcygov.cn/luban/e-biding" </w:instrText>
      </w:r>
      <w:r>
        <w:rPr>
          <w:rFonts w:hint="eastAsia" w:ascii="宋体" w:hAnsi="宋体" w:eastAsia="宋体" w:cs="宋体"/>
          <w:highlight w:val="none"/>
        </w:rPr>
        <w:fldChar w:fldCharType="separate"/>
      </w:r>
      <w:r>
        <w:rPr>
          <w:rFonts w:hint="eastAsia" w:ascii="宋体" w:hAnsi="宋体" w:eastAsia="宋体" w:cs="宋体"/>
          <w:b/>
          <w:bCs/>
          <w:sz w:val="21"/>
          <w:szCs w:val="21"/>
          <w:highlight w:val="none"/>
        </w:rPr>
        <w:t>https://edu.zcygov.cn/luban/e-biding</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t>）。</w:t>
      </w:r>
    </w:p>
    <w:p w14:paraId="615B9B99">
      <w:pPr>
        <w:spacing w:line="360" w:lineRule="auto"/>
        <w:jc w:val="left"/>
        <w:outlineLvl w:val="2"/>
        <w:rPr>
          <w:rFonts w:hint="eastAsia" w:ascii="宋体" w:hAnsi="宋体" w:eastAsia="宋体" w:cs="宋体"/>
          <w:b/>
          <w:spacing w:val="-6"/>
          <w:sz w:val="24"/>
          <w:highlight w:val="none"/>
        </w:rPr>
      </w:pPr>
      <w:r>
        <w:rPr>
          <w:rFonts w:hint="eastAsia" w:ascii="宋体" w:hAnsi="宋体" w:eastAsia="宋体" w:cs="宋体"/>
          <w:b/>
          <w:spacing w:val="-6"/>
          <w:sz w:val="24"/>
          <w:highlight w:val="none"/>
        </w:rPr>
        <w:t>（三）投标文件的上传、递交、修改和撤回</w:t>
      </w:r>
    </w:p>
    <w:p w14:paraId="2DA193B2">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1.投标文件的上传、递交：</w:t>
      </w:r>
    </w:p>
    <w:p w14:paraId="456CA621">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在公款竞争性存放网上招标平台上传递交。</w:t>
      </w:r>
    </w:p>
    <w:p w14:paraId="57BE631F">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▲a.投标人应在投标截止时间前将电子投标文件成功上传至浙江省公款竞争性存放网上招标平台（https://gkcf-login.czt.zj.gov.cn），否则投标无效；</w:t>
      </w:r>
    </w:p>
    <w:p w14:paraId="5AE76170">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b.电子投标文件成功上传后，投标人可自行打印投标文件接收回执。</w:t>
      </w:r>
    </w:p>
    <w:p w14:paraId="68F290FE">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浙江省公款竞争性存放网上招标平台（https://gkcf-login.czt.zj.gov.cn）及采购代理机构将予以拒收。</w:t>
      </w:r>
    </w:p>
    <w:p w14:paraId="5E9389DE">
      <w:pPr>
        <w:spacing w:line="360" w:lineRule="auto"/>
        <w:jc w:val="left"/>
        <w:rPr>
          <w:rFonts w:hint="eastAsia" w:ascii="宋体" w:hAnsi="宋体" w:eastAsia="宋体" w:cs="宋体"/>
          <w:spacing w:val="-6"/>
          <w:sz w:val="24"/>
          <w:highlight w:val="none"/>
        </w:rPr>
      </w:pPr>
      <w:r>
        <w:rPr>
          <w:rFonts w:hint="eastAsia" w:ascii="宋体" w:hAnsi="宋体" w:eastAsia="宋体" w:cs="宋体"/>
          <w:b/>
          <w:spacing w:val="-6"/>
          <w:sz w:val="24"/>
          <w:highlight w:val="none"/>
        </w:rPr>
        <w:t>（四） 投标文件的语言及计量</w:t>
      </w:r>
    </w:p>
    <w:p w14:paraId="67B48FA3">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投标文件以及投标人与招标人或招标代理机构就有关投标事宜的所有来往函电，均应以中文汉语书写。除签名、盖章、专用名称等特殊情形外，以中文汉语以外的文字表述的投标文件视同未提供（有中文汉语说明的除外）。</w:t>
      </w:r>
    </w:p>
    <w:p w14:paraId="42EE6167">
      <w:pPr>
        <w:spacing w:line="360" w:lineRule="auto"/>
        <w:jc w:val="left"/>
        <w:rPr>
          <w:rFonts w:hint="eastAsia" w:ascii="宋体" w:hAnsi="宋体" w:eastAsia="宋体" w:cs="宋体"/>
          <w:spacing w:val="-6"/>
          <w:sz w:val="24"/>
          <w:highlight w:val="none"/>
        </w:rPr>
      </w:pPr>
      <w:r>
        <w:rPr>
          <w:rFonts w:hint="eastAsia" w:ascii="宋体" w:hAnsi="宋体" w:eastAsia="宋体" w:cs="宋体"/>
          <w:b/>
          <w:spacing w:val="-6"/>
          <w:sz w:val="24"/>
          <w:highlight w:val="none"/>
        </w:rPr>
        <w:t>（五） 投标报价</w:t>
      </w:r>
    </w:p>
    <w:p w14:paraId="31DD8DDB">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1.本次投标采用一年定期存款年利率报价。</w:t>
      </w:r>
    </w:p>
    <w:p w14:paraId="1F06F3F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2.投标报价是指一次性报出不得更改的价格，投标报价应按招标文件中相关附表格式填写。</w:t>
      </w:r>
    </w:p>
    <w:p w14:paraId="19B4B702">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3.投标文件只允许有一个报价，有选择的报价将不予接受。</w:t>
      </w:r>
    </w:p>
    <w:p w14:paraId="0C30171A">
      <w:pPr>
        <w:pStyle w:val="4"/>
        <w:widowControl w:val="0"/>
        <w:numPr>
          <w:ilvl w:val="0"/>
          <w:numId w:val="0"/>
        </w:numPr>
        <w:spacing w:line="360" w:lineRule="auto"/>
        <w:ind w:left="327" w:hanging="327" w:hangingChars="143"/>
        <w:rPr>
          <w:rFonts w:hint="eastAsia" w:ascii="宋体" w:hAnsi="宋体" w:eastAsia="宋体" w:cs="宋体"/>
          <w:b/>
          <w:spacing w:val="-6"/>
          <w:kern w:val="2"/>
          <w:szCs w:val="24"/>
          <w:highlight w:val="none"/>
        </w:rPr>
      </w:pPr>
      <w:r>
        <w:rPr>
          <w:rFonts w:hint="eastAsia" w:ascii="宋体" w:hAnsi="宋体" w:eastAsia="宋体" w:cs="宋体"/>
          <w:b/>
          <w:spacing w:val="-6"/>
          <w:kern w:val="2"/>
          <w:szCs w:val="24"/>
          <w:highlight w:val="none"/>
        </w:rPr>
        <w:t>（六） 投标有效期</w:t>
      </w:r>
    </w:p>
    <w:p w14:paraId="0A0AF89D">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▲1.从提交投标文件的截止之日起90天。</w:t>
      </w:r>
    </w:p>
    <w:p w14:paraId="00AFE337">
      <w:pPr>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2.在原投标有效期满之前，如果出现特殊情况，招标人或招标代理机构以书面形式通知投标人延长投标有效期。</w:t>
      </w:r>
    </w:p>
    <w:p w14:paraId="3BA9762F">
      <w:pPr>
        <w:spacing w:line="360" w:lineRule="auto"/>
        <w:rPr>
          <w:rFonts w:hint="eastAsia" w:ascii="宋体" w:hAnsi="宋体" w:eastAsia="宋体" w:cs="宋体"/>
          <w:b/>
          <w:spacing w:val="-6"/>
          <w:sz w:val="24"/>
          <w:highlight w:val="none"/>
        </w:rPr>
      </w:pPr>
      <w:r>
        <w:rPr>
          <w:rFonts w:hint="eastAsia" w:ascii="宋体" w:hAnsi="宋体" w:eastAsia="宋体" w:cs="宋体"/>
          <w:b/>
          <w:spacing w:val="-6"/>
          <w:sz w:val="24"/>
          <w:highlight w:val="none"/>
        </w:rPr>
        <w:t>（七） 投标无效的情形</w:t>
      </w:r>
    </w:p>
    <w:p w14:paraId="64B231C6">
      <w:pPr>
        <w:widowControl/>
        <w:spacing w:line="360" w:lineRule="auto"/>
        <w:ind w:firstLine="398" w:firstLineChars="200"/>
        <w:jc w:val="left"/>
        <w:rPr>
          <w:rFonts w:hint="eastAsia" w:ascii="宋体" w:hAnsi="宋体" w:eastAsia="宋体" w:cs="宋体"/>
          <w:b/>
          <w:spacing w:val="-6"/>
          <w:sz w:val="21"/>
          <w:szCs w:val="21"/>
          <w:highlight w:val="none"/>
        </w:rPr>
      </w:pPr>
      <w:r>
        <w:rPr>
          <w:rFonts w:hint="eastAsia" w:ascii="宋体" w:hAnsi="宋体" w:eastAsia="宋体" w:cs="宋体"/>
          <w:b/>
          <w:spacing w:val="-6"/>
          <w:sz w:val="21"/>
          <w:szCs w:val="21"/>
          <w:highlight w:val="none"/>
        </w:rPr>
        <w:t>1.在资格审查时，如发现下列情形之一的，投标文件将被视为无效：</w:t>
      </w:r>
    </w:p>
    <w:p w14:paraId="6A82A9C8">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（1）资格证明材料不全的，或者不符合招标文件要求的；</w:t>
      </w:r>
    </w:p>
    <w:p w14:paraId="486C499A">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（2）投标人不具备招标文件中规定的资格要求的。</w:t>
      </w:r>
    </w:p>
    <w:p w14:paraId="7641B1E0">
      <w:pPr>
        <w:spacing w:line="360" w:lineRule="auto"/>
        <w:ind w:firstLine="398" w:firstLineChars="200"/>
        <w:rPr>
          <w:rFonts w:hint="eastAsia" w:ascii="宋体" w:hAnsi="宋体" w:eastAsia="宋体" w:cs="宋体"/>
          <w:b/>
          <w:spacing w:val="-6"/>
          <w:sz w:val="21"/>
          <w:szCs w:val="21"/>
          <w:highlight w:val="none"/>
        </w:rPr>
      </w:pPr>
      <w:r>
        <w:rPr>
          <w:rFonts w:hint="eastAsia" w:ascii="宋体" w:hAnsi="宋体" w:eastAsia="宋体" w:cs="宋体"/>
          <w:b/>
          <w:spacing w:val="-6"/>
          <w:sz w:val="21"/>
          <w:szCs w:val="21"/>
          <w:highlight w:val="none"/>
        </w:rPr>
        <w:t>2.在符合性审查、商务和技术评审时，如发现下列情形之一的，投标文件将被视为无效：</w:t>
      </w:r>
    </w:p>
    <w:p w14:paraId="2E2816E9">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（1）投标文件未按要求签署、盖章的；</w:t>
      </w:r>
    </w:p>
    <w:p w14:paraId="411A4496">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（2）未提供或未按要求提供投标函、企业负责人资格证明书、企业负责人授权委托书、投标声明书；</w:t>
      </w:r>
    </w:p>
    <w:p w14:paraId="1AEF61B5">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（3）明显不符合招标文件要求，或者与招标文件中标“▲”的项目发生实质性偏离的；</w:t>
      </w:r>
    </w:p>
    <w:p w14:paraId="28F01361">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（4）投标文件含有招标人不能接受的附加条件的；</w:t>
      </w:r>
    </w:p>
    <w:p w14:paraId="75FB4EB4">
      <w:pPr>
        <w:widowControl/>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（5）法律、法规和招标文件规定的其他无效情形。</w:t>
      </w:r>
    </w:p>
    <w:p w14:paraId="55DAD837">
      <w:pPr>
        <w:widowControl/>
        <w:spacing w:line="360" w:lineRule="auto"/>
        <w:ind w:firstLine="398" w:firstLineChars="200"/>
        <w:jc w:val="left"/>
        <w:rPr>
          <w:rFonts w:hint="eastAsia" w:ascii="宋体" w:hAnsi="宋体" w:eastAsia="宋体" w:cs="宋体"/>
          <w:b/>
          <w:spacing w:val="-6"/>
          <w:sz w:val="21"/>
          <w:szCs w:val="21"/>
          <w:highlight w:val="none"/>
        </w:rPr>
      </w:pPr>
      <w:r>
        <w:rPr>
          <w:rFonts w:hint="eastAsia" w:ascii="宋体" w:hAnsi="宋体" w:eastAsia="宋体" w:cs="宋体"/>
          <w:b/>
          <w:spacing w:val="-6"/>
          <w:sz w:val="21"/>
          <w:szCs w:val="21"/>
          <w:highlight w:val="none"/>
        </w:rPr>
        <w:t>3.在报价评审时，如发现下列情形之一的，投标文件将被视为无效：</w:t>
      </w:r>
    </w:p>
    <w:p w14:paraId="5D534F6E">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（1）未按照招标文件要求报价的；</w:t>
      </w:r>
    </w:p>
    <w:p w14:paraId="16101841">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（2）投标报价具有选择性，或者开标价格与投标文件承诺的优惠（折扣）价格不一致的；</w:t>
      </w:r>
    </w:p>
    <w:p w14:paraId="1163EEE5">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（3）定期存款利率低于相同期限基准存款利率和违反国家利率政策规定的。</w:t>
      </w:r>
    </w:p>
    <w:p w14:paraId="42837FA4">
      <w:pPr>
        <w:widowControl/>
        <w:spacing w:line="360" w:lineRule="auto"/>
        <w:ind w:firstLine="398" w:firstLineChars="200"/>
        <w:jc w:val="left"/>
        <w:rPr>
          <w:rFonts w:hint="eastAsia" w:ascii="宋体" w:hAnsi="宋体" w:eastAsia="宋体" w:cs="宋体"/>
          <w:b/>
          <w:spacing w:val="-6"/>
          <w:sz w:val="21"/>
          <w:szCs w:val="21"/>
          <w:highlight w:val="none"/>
        </w:rPr>
      </w:pPr>
      <w:r>
        <w:rPr>
          <w:rFonts w:hint="eastAsia" w:ascii="宋体" w:hAnsi="宋体" w:eastAsia="宋体" w:cs="宋体"/>
          <w:b/>
          <w:spacing w:val="-6"/>
          <w:sz w:val="21"/>
          <w:szCs w:val="21"/>
          <w:highlight w:val="none"/>
        </w:rPr>
        <w:t>4.有下列情形之一的，视为投标人串通投标，其投标无效，由招标人或招标代理机构上报监督管理部门，视情列入不良行为记录名单，在一至三年内禁止参加采购活动：</w:t>
      </w:r>
    </w:p>
    <w:p w14:paraId="215542DC">
      <w:pPr>
        <w:widowControl/>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（1）不同投标人的投标文件由同一单位或者个人编制；</w:t>
      </w:r>
    </w:p>
    <w:p w14:paraId="1D18E2B9">
      <w:pPr>
        <w:widowControl/>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（2）不同投标人委托同一单位或者个人办理投标事宜；</w:t>
      </w:r>
    </w:p>
    <w:p w14:paraId="4FF1FA60">
      <w:pPr>
        <w:widowControl/>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（3）不同投标人的投标文件载明的项目管理成员或者联系人员为同一人；</w:t>
      </w:r>
    </w:p>
    <w:p w14:paraId="18C2E7F3">
      <w:pPr>
        <w:widowControl/>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（4）不同投标人的投标文件异常一致或者投标报价呈规律性差异；</w:t>
      </w:r>
    </w:p>
    <w:p w14:paraId="30D4638E">
      <w:pPr>
        <w:widowControl/>
        <w:spacing w:line="360" w:lineRule="auto"/>
        <w:ind w:firstLine="396"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（5）不同投标人的投标文件相互混装；</w:t>
      </w:r>
    </w:p>
    <w:p w14:paraId="69751B6F">
      <w:pPr>
        <w:widowControl/>
        <w:spacing w:line="360" w:lineRule="auto"/>
        <w:ind w:firstLine="398" w:firstLineChars="200"/>
        <w:jc w:val="center"/>
        <w:outlineLvl w:val="1"/>
        <w:rPr>
          <w:rFonts w:hint="eastAsia" w:ascii="宋体" w:hAnsi="宋体" w:eastAsia="宋体" w:cs="宋体"/>
          <w:b/>
          <w:spacing w:val="-6"/>
          <w:sz w:val="32"/>
          <w:szCs w:val="32"/>
          <w:highlight w:val="none"/>
        </w:rPr>
      </w:pPr>
      <w:r>
        <w:rPr>
          <w:rFonts w:hint="eastAsia" w:ascii="宋体" w:hAnsi="宋体" w:eastAsia="宋体" w:cs="宋体"/>
          <w:b/>
          <w:spacing w:val="-6"/>
          <w:sz w:val="21"/>
          <w:szCs w:val="21"/>
          <w:highlight w:val="none"/>
        </w:rPr>
        <w:br w:type="page"/>
      </w:r>
      <w:r>
        <w:rPr>
          <w:rFonts w:hint="eastAsia" w:ascii="宋体" w:hAnsi="宋体" w:eastAsia="宋体" w:cs="宋体"/>
          <w:b/>
          <w:spacing w:val="-6"/>
          <w:sz w:val="32"/>
          <w:szCs w:val="32"/>
          <w:highlight w:val="none"/>
        </w:rPr>
        <w:t>四、开标</w:t>
      </w:r>
    </w:p>
    <w:p w14:paraId="3749D520">
      <w:pPr>
        <w:pStyle w:val="10"/>
        <w:spacing w:line="360" w:lineRule="auto"/>
        <w:ind w:firstLine="0"/>
        <w:rPr>
          <w:rFonts w:hint="eastAsia" w:ascii="宋体" w:hAnsi="宋体" w:eastAsia="宋体" w:cs="宋体"/>
          <w:b/>
          <w:spacing w:val="-6"/>
          <w:sz w:val="24"/>
          <w:szCs w:val="24"/>
          <w:highlight w:val="none"/>
        </w:rPr>
      </w:pPr>
      <w:r>
        <w:rPr>
          <w:rFonts w:hint="eastAsia" w:ascii="宋体" w:hAnsi="宋体" w:eastAsia="宋体" w:cs="宋体"/>
          <w:b/>
          <w:spacing w:val="-6"/>
          <w:sz w:val="24"/>
          <w:szCs w:val="24"/>
          <w:highlight w:val="none"/>
        </w:rPr>
        <w:t>（一） 开标准备</w:t>
      </w:r>
    </w:p>
    <w:p w14:paraId="32D697BB">
      <w:pPr>
        <w:pStyle w:val="10"/>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采购组织机构将按照招标文件规定的时间通过“浙江省公款竞争性存放网上招标平台（https://gkcf-login.czt.zj.gov.cn）”组织在线开标，所有供应商均应当准时在线参加。</w:t>
      </w:r>
    </w:p>
    <w:p w14:paraId="44555934">
      <w:pPr>
        <w:pStyle w:val="10"/>
        <w:spacing w:line="360" w:lineRule="auto"/>
        <w:ind w:firstLine="0"/>
        <w:rPr>
          <w:rFonts w:hint="eastAsia" w:ascii="宋体" w:hAnsi="宋体" w:eastAsia="宋体" w:cs="宋体"/>
          <w:b/>
          <w:spacing w:val="-6"/>
          <w:sz w:val="24"/>
          <w:szCs w:val="24"/>
          <w:highlight w:val="none"/>
        </w:rPr>
      </w:pPr>
      <w:r>
        <w:rPr>
          <w:rFonts w:hint="eastAsia" w:ascii="宋体" w:hAnsi="宋体" w:eastAsia="宋体" w:cs="宋体"/>
          <w:b/>
          <w:spacing w:val="-6"/>
          <w:sz w:val="24"/>
          <w:szCs w:val="24"/>
          <w:highlight w:val="none"/>
        </w:rPr>
        <w:t>（二） 开标程序</w:t>
      </w:r>
    </w:p>
    <w:p w14:paraId="0E7926CB">
      <w:pPr>
        <w:pStyle w:val="10"/>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1.到投标截止时间，递交响应文件的投标人少于</w:t>
      </w:r>
      <w:r>
        <w:rPr>
          <w:rFonts w:hint="eastAsia" w:hAnsi="宋体" w:cs="宋体"/>
          <w:spacing w:val="-6"/>
          <w:sz w:val="21"/>
          <w:szCs w:val="21"/>
          <w:highlight w:val="none"/>
          <w:lang w:val="en-US" w:eastAsia="zh-CN"/>
        </w:rPr>
        <w:t>4</w:t>
      </w:r>
      <w:r>
        <w:rPr>
          <w:rFonts w:hint="eastAsia" w:ascii="宋体" w:hAnsi="宋体" w:eastAsia="宋体" w:cs="宋体"/>
          <w:spacing w:val="-6"/>
          <w:sz w:val="21"/>
          <w:szCs w:val="21"/>
          <w:highlight w:val="none"/>
        </w:rPr>
        <w:t>家的，招标人将依法重新组织招标。评标期间，如通过</w:t>
      </w:r>
      <w:r>
        <w:rPr>
          <w:rFonts w:hint="eastAsia" w:ascii="宋体" w:hAnsi="宋体" w:eastAsia="宋体" w:cs="宋体"/>
          <w:bCs/>
          <w:spacing w:val="-6"/>
          <w:sz w:val="21"/>
          <w:szCs w:val="21"/>
          <w:highlight w:val="none"/>
        </w:rPr>
        <w:t>资格审查、</w:t>
      </w:r>
      <w:r>
        <w:rPr>
          <w:rFonts w:hint="eastAsia" w:ascii="宋体" w:hAnsi="宋体" w:eastAsia="宋体" w:cs="宋体"/>
          <w:spacing w:val="-6"/>
          <w:sz w:val="21"/>
          <w:szCs w:val="21"/>
          <w:highlight w:val="none"/>
        </w:rPr>
        <w:t>符合性审查的有效投标人少于</w:t>
      </w:r>
      <w:r>
        <w:rPr>
          <w:rFonts w:hint="eastAsia" w:hAnsi="宋体" w:cs="宋体"/>
          <w:spacing w:val="-6"/>
          <w:sz w:val="21"/>
          <w:szCs w:val="21"/>
          <w:highlight w:val="none"/>
          <w:lang w:val="en-US" w:eastAsia="zh-CN"/>
        </w:rPr>
        <w:t>4</w:t>
      </w:r>
      <w:r>
        <w:rPr>
          <w:rFonts w:hint="eastAsia" w:ascii="宋体" w:hAnsi="宋体" w:eastAsia="宋体" w:cs="宋体"/>
          <w:spacing w:val="-6"/>
          <w:sz w:val="21"/>
          <w:szCs w:val="21"/>
          <w:highlight w:val="none"/>
        </w:rPr>
        <w:t>家的，招标人将重新组织招标。</w:t>
      </w:r>
    </w:p>
    <w:p w14:paraId="32B5BA2C">
      <w:pPr>
        <w:pStyle w:val="10"/>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2.所有的开标流程按照浙江省公款竞争性存放网上招标平台（https://gkcf-login.czt.zj.gov.cn）关于公款竞争性存放的操作流程进行开标程序。</w:t>
      </w:r>
    </w:p>
    <w:p w14:paraId="3C06203D">
      <w:pPr>
        <w:pStyle w:val="12"/>
        <w:spacing w:line="360" w:lineRule="auto"/>
        <w:jc w:val="center"/>
        <w:outlineLvl w:val="1"/>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br w:type="page"/>
      </w:r>
      <w:r>
        <w:rPr>
          <w:rFonts w:hint="eastAsia" w:ascii="宋体" w:hAnsi="宋体" w:eastAsia="宋体" w:cs="宋体"/>
          <w:b/>
          <w:spacing w:val="-6"/>
          <w:sz w:val="32"/>
          <w:szCs w:val="32"/>
          <w:highlight w:val="none"/>
        </w:rPr>
        <w:t>五、评  标</w:t>
      </w:r>
    </w:p>
    <w:p w14:paraId="4507B43E">
      <w:pPr>
        <w:spacing w:line="360" w:lineRule="auto"/>
        <w:rPr>
          <w:rFonts w:hint="eastAsia" w:ascii="宋体" w:hAnsi="宋体" w:eastAsia="宋体" w:cs="宋体"/>
          <w:b/>
          <w:spacing w:val="-6"/>
          <w:sz w:val="24"/>
          <w:highlight w:val="none"/>
        </w:rPr>
      </w:pPr>
      <w:r>
        <w:rPr>
          <w:rFonts w:hint="eastAsia" w:ascii="宋体" w:hAnsi="宋体" w:eastAsia="宋体" w:cs="宋体"/>
          <w:b/>
          <w:spacing w:val="-6"/>
          <w:sz w:val="24"/>
          <w:highlight w:val="none"/>
        </w:rPr>
        <w:t>（一） 组建评标委员会</w:t>
      </w:r>
    </w:p>
    <w:p w14:paraId="7D312F22">
      <w:pPr>
        <w:pStyle w:val="12"/>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本项目评标委员会依据相关法律法规组建，</w:t>
      </w:r>
      <w:r>
        <w:rPr>
          <w:rFonts w:hint="eastAsia" w:ascii="宋体" w:hAnsi="宋体" w:eastAsia="宋体" w:cs="宋体"/>
          <w:spacing w:val="-6"/>
          <w:sz w:val="21"/>
          <w:szCs w:val="21"/>
          <w:highlight w:val="none"/>
          <w:lang w:eastAsia="zh-CN"/>
        </w:rPr>
        <w:t>由一位内部专家和四位外部专家组成，外部专家由省级行政事业单位公款竞争性存放的专家库随机抽取。</w:t>
      </w:r>
    </w:p>
    <w:p w14:paraId="5AD837F7">
      <w:pPr>
        <w:pStyle w:val="10"/>
        <w:spacing w:line="360" w:lineRule="auto"/>
        <w:ind w:firstLine="0"/>
        <w:rPr>
          <w:rFonts w:hint="eastAsia" w:ascii="宋体" w:hAnsi="宋体" w:eastAsia="宋体" w:cs="宋体"/>
          <w:b/>
          <w:spacing w:val="-6"/>
          <w:sz w:val="24"/>
          <w:szCs w:val="24"/>
          <w:highlight w:val="none"/>
        </w:rPr>
      </w:pPr>
      <w:r>
        <w:rPr>
          <w:rFonts w:hint="eastAsia" w:ascii="宋体" w:hAnsi="宋体" w:eastAsia="宋体" w:cs="宋体"/>
          <w:b/>
          <w:spacing w:val="-6"/>
          <w:sz w:val="24"/>
          <w:szCs w:val="24"/>
          <w:highlight w:val="none"/>
        </w:rPr>
        <w:t>（二） 评标的方式</w:t>
      </w:r>
    </w:p>
    <w:p w14:paraId="56CCFF66">
      <w:pPr>
        <w:pStyle w:val="10"/>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本项目采用不公开方式评标，评标的依据为招标文件和投标文件。</w:t>
      </w:r>
    </w:p>
    <w:p w14:paraId="00CD9704">
      <w:pPr>
        <w:pStyle w:val="10"/>
        <w:spacing w:line="360" w:lineRule="auto"/>
        <w:ind w:firstLine="0"/>
        <w:rPr>
          <w:rFonts w:hint="eastAsia" w:ascii="宋体" w:hAnsi="宋体" w:eastAsia="宋体" w:cs="宋体"/>
          <w:b/>
          <w:spacing w:val="-6"/>
          <w:sz w:val="24"/>
          <w:szCs w:val="24"/>
          <w:highlight w:val="none"/>
        </w:rPr>
      </w:pPr>
      <w:r>
        <w:rPr>
          <w:rFonts w:hint="eastAsia" w:ascii="宋体" w:hAnsi="宋体" w:eastAsia="宋体" w:cs="宋体"/>
          <w:b/>
          <w:spacing w:val="-6"/>
          <w:sz w:val="24"/>
          <w:szCs w:val="24"/>
          <w:highlight w:val="none"/>
        </w:rPr>
        <w:t>（三）评标程序</w:t>
      </w:r>
    </w:p>
    <w:p w14:paraId="019F044D">
      <w:pPr>
        <w:pStyle w:val="12"/>
        <w:snapToGrid w:val="0"/>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1.形式审查</w:t>
      </w:r>
    </w:p>
    <w:p w14:paraId="48A8079D">
      <w:pPr>
        <w:pStyle w:val="12"/>
        <w:snapToGrid w:val="0"/>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招标代理机构工作人员协助评标委员会对投标人的资格(投标报名时已进行资格审查的除外)和投标文件的完整性、合法性等进行审查。</w:t>
      </w:r>
    </w:p>
    <w:p w14:paraId="1A9E0206">
      <w:pPr>
        <w:pStyle w:val="12"/>
        <w:snapToGrid w:val="0"/>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2.实质审查与比较</w:t>
      </w:r>
    </w:p>
    <w:p w14:paraId="7AF46541">
      <w:pPr>
        <w:pStyle w:val="12"/>
        <w:snapToGrid w:val="0"/>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（1）评标委员会审查投标文件的实质性内容是否符合招标文件的实质性要求。</w:t>
      </w:r>
    </w:p>
    <w:p w14:paraId="798C0A01">
      <w:pPr>
        <w:pStyle w:val="12"/>
        <w:snapToGrid w:val="0"/>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评标委员会将根据投标人的投标文件进行审查、核对，如有疑问，将对投标人进行询标，投标人要向评标委员会澄清有关问题，并最终以书面形式进行答复。投标人代表拒绝澄清或者澄清的内容改变了投标文件的实质性内容的，评标委员会有权对该投标文件作出不利于投标人的评判。</w:t>
      </w:r>
    </w:p>
    <w:p w14:paraId="7635CEDA">
      <w:pPr>
        <w:pStyle w:val="12"/>
        <w:snapToGrid w:val="0"/>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（3）评标委员会采用综合评分法评审打分，由指定专人进行计算复核。</w:t>
      </w:r>
    </w:p>
    <w:p w14:paraId="070A3E07">
      <w:pPr>
        <w:pStyle w:val="12"/>
        <w:snapToGrid w:val="0"/>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（4）评分汇总，撰写评标报告。</w:t>
      </w:r>
    </w:p>
    <w:p w14:paraId="4C709FE5">
      <w:pPr>
        <w:pStyle w:val="10"/>
        <w:spacing w:line="360" w:lineRule="auto"/>
        <w:ind w:firstLine="0"/>
        <w:rPr>
          <w:rFonts w:hint="eastAsia" w:ascii="宋体" w:hAnsi="宋体" w:eastAsia="宋体" w:cs="宋体"/>
          <w:b/>
          <w:spacing w:val="-6"/>
          <w:sz w:val="24"/>
          <w:szCs w:val="24"/>
          <w:highlight w:val="none"/>
        </w:rPr>
      </w:pPr>
      <w:r>
        <w:rPr>
          <w:rFonts w:hint="eastAsia" w:ascii="宋体" w:hAnsi="宋体" w:eastAsia="宋体" w:cs="宋体"/>
          <w:b/>
          <w:spacing w:val="-6"/>
          <w:sz w:val="24"/>
          <w:szCs w:val="24"/>
          <w:highlight w:val="none"/>
        </w:rPr>
        <w:t>（四）澄清问题的形式</w:t>
      </w:r>
    </w:p>
    <w:p w14:paraId="6C3E0189">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对于投标文件中含义不明确、同类问题表述不一致或者有明显文字和计算错误的内容，评标委员会应当以书面形式要求投标人作出必要的澄清、说明或者补正。</w:t>
      </w:r>
    </w:p>
    <w:p w14:paraId="5956437C">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投标人的澄清、说明或者补正应当采用书面形式，并加盖公章，或者由企业负责人或其授权的代表签字。投标人的澄清、说明或者补正不得超出投标文件的范围或者改变投标文件的实质性内容。</w:t>
      </w:r>
    </w:p>
    <w:p w14:paraId="27CCFCC5">
      <w:pPr>
        <w:pStyle w:val="10"/>
        <w:spacing w:line="360" w:lineRule="auto"/>
        <w:ind w:firstLine="0"/>
        <w:rPr>
          <w:rFonts w:hint="eastAsia" w:ascii="宋体" w:hAnsi="宋体" w:eastAsia="宋体" w:cs="宋体"/>
          <w:b/>
          <w:spacing w:val="-6"/>
          <w:sz w:val="24"/>
          <w:szCs w:val="24"/>
          <w:highlight w:val="none"/>
        </w:rPr>
      </w:pPr>
      <w:r>
        <w:rPr>
          <w:rFonts w:hint="eastAsia" w:ascii="宋体" w:hAnsi="宋体" w:eastAsia="宋体" w:cs="宋体"/>
          <w:b/>
          <w:spacing w:val="-6"/>
          <w:sz w:val="24"/>
          <w:szCs w:val="24"/>
          <w:highlight w:val="none"/>
        </w:rPr>
        <w:t>（五）错误修正</w:t>
      </w:r>
    </w:p>
    <w:p w14:paraId="22132BA9">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投标文件如果出现计算上的错误，修正错误的原则如下：</w:t>
      </w:r>
    </w:p>
    <w:p w14:paraId="578E2666">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1.两份开标一览表投标总价不一致的，以唱标的开标一览表为准；</w:t>
      </w:r>
    </w:p>
    <w:p w14:paraId="111BEA7C">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2.投标文件的大写金额和小写金额不一致的，以大写金额为准；</w:t>
      </w:r>
    </w:p>
    <w:p w14:paraId="4C5AD640">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3.单价金额小数点有明显错位的，应以总价为准，并修改单价；</w:t>
      </w:r>
    </w:p>
    <w:p w14:paraId="41C1BED0">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4.对不同文字文本投标文件的解释发生异议的，以中文文本为准。</w:t>
      </w:r>
    </w:p>
    <w:p w14:paraId="01C156EF">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按上述修正错误的原则及方法调整或修正投标文件的投标报价，投标人同意并签字确认后，调整后的投标报价对投标人具有约束作用。如果投标人不接受修正后的报价，则其投标将被拒绝。</w:t>
      </w:r>
    </w:p>
    <w:p w14:paraId="3B7DF264">
      <w:pPr>
        <w:pStyle w:val="10"/>
        <w:spacing w:line="360" w:lineRule="auto"/>
        <w:ind w:firstLine="0"/>
        <w:rPr>
          <w:rFonts w:hint="eastAsia" w:ascii="宋体" w:hAnsi="宋体" w:eastAsia="宋体" w:cs="宋体"/>
          <w:b/>
          <w:spacing w:val="-6"/>
          <w:sz w:val="24"/>
          <w:szCs w:val="24"/>
          <w:highlight w:val="none"/>
        </w:rPr>
      </w:pPr>
      <w:r>
        <w:rPr>
          <w:rFonts w:hint="eastAsia" w:ascii="宋体" w:hAnsi="宋体" w:eastAsia="宋体" w:cs="宋体"/>
          <w:b/>
          <w:spacing w:val="-6"/>
          <w:sz w:val="24"/>
          <w:szCs w:val="24"/>
          <w:highlight w:val="none"/>
        </w:rPr>
        <w:t>（六）评标原则和评标办法</w:t>
      </w:r>
    </w:p>
    <w:p w14:paraId="5D6BFA18">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评标委员会成员应当按照客观、公正、审慎的原则，根据招标文件规定的评标程序、评标方法和评标标准进行独立评审。招标文件内容违反国家有关强制性规定的，评标委员会应当停止评标并向招标人或者招标代理机构说明情况。</w:t>
      </w:r>
    </w:p>
    <w:p w14:paraId="28E04F52">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2.评标中因评标委员会成员缺席、回避或者健康等特殊原因导致评标委员会组成不符合规定的，依法补足后继续评标。被更换的评标委员会成员所作出的评标意见无效。</w:t>
      </w:r>
    </w:p>
    <w:p w14:paraId="0F31744B">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3.评标委员会成员对需要共同认定的事项存在争议的，应当按照少数服从多数的原则作出结论。持不同意见的评标委员会成员应当在评标报告上签署不同意见及理由，否则视为同意评标报告。</w:t>
      </w:r>
    </w:p>
    <w:p w14:paraId="5C85434F">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4.评标办法。本项目评标办法是综合评分法，具体评标内容及评分标准等详见《第四章：评标办法及评分标准》。</w:t>
      </w:r>
    </w:p>
    <w:p w14:paraId="3EBE5221">
      <w:pPr>
        <w:spacing w:line="360" w:lineRule="auto"/>
        <w:rPr>
          <w:rFonts w:hint="eastAsia" w:ascii="宋体" w:hAnsi="宋体" w:eastAsia="宋体" w:cs="宋体"/>
          <w:b/>
          <w:spacing w:val="-6"/>
          <w:sz w:val="24"/>
          <w:highlight w:val="none"/>
        </w:rPr>
      </w:pPr>
      <w:r>
        <w:rPr>
          <w:rFonts w:hint="eastAsia" w:ascii="宋体" w:hAnsi="宋体" w:eastAsia="宋体" w:cs="宋体"/>
          <w:b/>
          <w:spacing w:val="-6"/>
          <w:sz w:val="24"/>
          <w:highlight w:val="none"/>
        </w:rPr>
        <w:t>（七） 定 标</w:t>
      </w:r>
    </w:p>
    <w:p w14:paraId="59336DB6">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招标代理机构自评审结束之日起2个工作日内将评审报告送交招标人。招标人收到评审报告之日起5个工作日内在评审报告推荐的中标候选人中按顺序确定中标人，招标人将根据评选委员会提交的评审报告及推荐的中标候选人，确定第一、</w:t>
      </w:r>
      <w:r>
        <w:rPr>
          <w:rFonts w:hint="eastAsia" w:ascii="宋体" w:hAnsi="宋体" w:cs="宋体"/>
          <w:spacing w:val="-6"/>
          <w:sz w:val="21"/>
          <w:szCs w:val="21"/>
          <w:highlight w:val="none"/>
          <w:lang w:val="en-US" w:eastAsia="zh-CN"/>
        </w:rPr>
        <w:t>二、三</w:t>
      </w:r>
      <w:r>
        <w:rPr>
          <w:rFonts w:hint="eastAsia" w:ascii="宋体" w:hAnsi="宋体" w:eastAsia="宋体" w:cs="宋体"/>
          <w:spacing w:val="-6"/>
          <w:sz w:val="21"/>
          <w:szCs w:val="21"/>
          <w:highlight w:val="none"/>
        </w:rPr>
        <w:t>为中标人。</w:t>
      </w:r>
    </w:p>
    <w:p w14:paraId="61B839DE">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2.招标代理机构自中标人确定之日起2个工作日内，发出中标通知书，并在浙江政府采购网</w:t>
      </w:r>
      <w:r>
        <w:rPr>
          <w:rFonts w:hint="eastAsia" w:ascii="宋体" w:hAnsi="宋体" w:eastAsia="宋体" w:cs="宋体"/>
          <w:sz w:val="21"/>
          <w:szCs w:val="21"/>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"http://www.zjzfcg.gov.cn/" </w:instrText>
      </w:r>
      <w:r>
        <w:rPr>
          <w:rFonts w:hint="eastAsia" w:ascii="宋体" w:hAnsi="宋体" w:eastAsia="宋体" w:cs="宋体"/>
          <w:highlight w:val="none"/>
        </w:rPr>
        <w:fldChar w:fldCharType="separate"/>
      </w:r>
      <w:r>
        <w:rPr>
          <w:rFonts w:hint="eastAsia" w:ascii="宋体" w:hAnsi="宋体" w:eastAsia="宋体" w:cs="宋体"/>
          <w:sz w:val="21"/>
          <w:szCs w:val="21"/>
          <w:highlight w:val="none"/>
        </w:rPr>
        <w:t>http://www.zjzfcg.gov.cn</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）等相关网站或媒体</w:t>
      </w:r>
      <w:r>
        <w:rPr>
          <w:rFonts w:hint="eastAsia" w:ascii="宋体" w:hAnsi="宋体" w:eastAsia="宋体" w:cs="宋体"/>
          <w:spacing w:val="-6"/>
          <w:sz w:val="21"/>
          <w:szCs w:val="21"/>
          <w:highlight w:val="none"/>
        </w:rPr>
        <w:t>上公告中标结果。</w:t>
      </w:r>
    </w:p>
    <w:p w14:paraId="7EF0AE7A">
      <w:pPr>
        <w:spacing w:line="360" w:lineRule="auto"/>
        <w:rPr>
          <w:rFonts w:hint="eastAsia" w:ascii="宋体" w:hAnsi="宋体" w:eastAsia="宋体" w:cs="宋体"/>
          <w:spacing w:val="-6"/>
          <w:sz w:val="24"/>
          <w:highlight w:val="none"/>
        </w:rPr>
      </w:pPr>
      <w:r>
        <w:rPr>
          <w:rFonts w:hint="eastAsia" w:ascii="宋体" w:hAnsi="宋体" w:eastAsia="宋体" w:cs="宋体"/>
          <w:b/>
          <w:bCs/>
          <w:spacing w:val="-6"/>
          <w:sz w:val="24"/>
          <w:highlight w:val="none"/>
        </w:rPr>
        <w:t>（八） 合同授予</w:t>
      </w:r>
    </w:p>
    <w:p w14:paraId="24EF0D3D">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招标人应当自中标通知书发出之日起30日内，按照招标文件和中标人投标文件的规定，与中标人签订书面合同。所签订的合同不得对招标文件确定的事项和中标人投标文件作实质性修改。招标人不得向中标人提出任何不合理的要求作为签订合同的条件。</w:t>
      </w:r>
    </w:p>
    <w:p w14:paraId="642FA0A8">
      <w:pPr>
        <w:spacing w:line="360" w:lineRule="auto"/>
        <w:ind w:firstLine="398" w:firstLineChars="200"/>
        <w:jc w:val="center"/>
        <w:outlineLvl w:val="1"/>
        <w:rPr>
          <w:rFonts w:hint="eastAsia" w:ascii="宋体" w:hAnsi="宋体" w:eastAsia="宋体" w:cs="宋体"/>
          <w:sz w:val="24"/>
          <w:highlight w:val="none"/>
        </w:rPr>
      </w:pPr>
      <w:r>
        <w:rPr>
          <w:rFonts w:hint="eastAsia" w:ascii="宋体" w:hAnsi="宋体" w:eastAsia="宋体" w:cs="宋体"/>
          <w:b/>
          <w:bCs/>
          <w:spacing w:val="-6"/>
          <w:sz w:val="21"/>
          <w:szCs w:val="21"/>
          <w:highlight w:val="none"/>
        </w:rPr>
        <w:br w:type="page"/>
      </w:r>
      <w:r>
        <w:rPr>
          <w:rFonts w:hint="eastAsia" w:ascii="宋体" w:hAnsi="宋体" w:eastAsia="宋体" w:cs="宋体"/>
          <w:b/>
          <w:spacing w:val="-6"/>
          <w:sz w:val="32"/>
          <w:szCs w:val="32"/>
          <w:highlight w:val="none"/>
        </w:rPr>
        <w:t>六、可中止电子交易活动的情形</w:t>
      </w:r>
    </w:p>
    <w:p w14:paraId="61FE707C">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采购过程中出现以下情形，导致电子交易平台无法正常运行，或者无法保证电子交易的公平、公正和安全时，采购代理机构可中止电子交易活动：</w:t>
      </w:r>
    </w:p>
    <w:p w14:paraId="3925DF55">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1.电子交易平台发生故障而无法登录访问的；</w:t>
      </w:r>
    </w:p>
    <w:p w14:paraId="35BA9FFC">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2.电子交易平台应用或数据库出现错误，不能进行正常操作的；</w:t>
      </w:r>
    </w:p>
    <w:p w14:paraId="4D7C535F">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3.电子交易平台发现严重安全漏洞，有潜在泄密危险的；</w:t>
      </w:r>
    </w:p>
    <w:p w14:paraId="67CF1137">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4.病毒发作导致不能进行正常操作的；</w:t>
      </w:r>
    </w:p>
    <w:p w14:paraId="0317F5AD">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5.其他无法保证电子交易的公平、公正和安全的情况。</w:t>
      </w:r>
    </w:p>
    <w:p w14:paraId="0C3C380E">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出现前款规定情形，不影响采购公平、公正性的，采购代理机构可以待上述情形消除后继续组织电子交易活动；影响或可能影响采购公平、公正性的，应当重新采购。</w:t>
      </w:r>
    </w:p>
    <w:p w14:paraId="089752C5">
      <w:pPr>
        <w:spacing w:line="360" w:lineRule="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br w:type="page"/>
      </w:r>
    </w:p>
    <w:p w14:paraId="70954C7E">
      <w:pPr>
        <w:spacing w:line="360" w:lineRule="auto"/>
        <w:jc w:val="center"/>
        <w:outlineLvl w:val="0"/>
        <w:rPr>
          <w:rFonts w:hint="eastAsia" w:ascii="宋体" w:hAnsi="宋体" w:eastAsia="宋体" w:cs="宋体"/>
          <w:b/>
          <w:spacing w:val="-6"/>
          <w:sz w:val="21"/>
          <w:szCs w:val="21"/>
          <w:highlight w:val="none"/>
        </w:rPr>
      </w:pPr>
      <w:r>
        <w:rPr>
          <w:rFonts w:hint="eastAsia" w:ascii="宋体" w:hAnsi="宋体" w:eastAsia="宋体" w:cs="宋体"/>
          <w:b/>
          <w:sz w:val="32"/>
          <w:szCs w:val="32"/>
          <w:highlight w:val="none"/>
        </w:rPr>
        <w:t>第四章  评标办法及评分标准</w:t>
      </w:r>
    </w:p>
    <w:p w14:paraId="33854BAB">
      <w:pPr>
        <w:numPr>
          <w:ilvl w:val="0"/>
          <w:numId w:val="3"/>
        </w:numPr>
        <w:spacing w:line="360" w:lineRule="auto"/>
        <w:rPr>
          <w:rFonts w:hint="eastAsia" w:ascii="宋体" w:hAnsi="宋体" w:eastAsia="宋体" w:cs="宋体"/>
          <w:b/>
          <w:spacing w:val="-6"/>
          <w:sz w:val="21"/>
          <w:szCs w:val="21"/>
          <w:highlight w:val="none"/>
        </w:rPr>
      </w:pPr>
      <w:r>
        <w:rPr>
          <w:rFonts w:hint="eastAsia" w:ascii="宋体" w:hAnsi="宋体" w:eastAsia="宋体" w:cs="宋体"/>
          <w:b/>
          <w:spacing w:val="-6"/>
          <w:sz w:val="21"/>
          <w:szCs w:val="21"/>
          <w:highlight w:val="none"/>
        </w:rPr>
        <w:t>总则</w:t>
      </w:r>
    </w:p>
    <w:p w14:paraId="30B9926C">
      <w:pPr>
        <w:spacing w:line="360" w:lineRule="auto"/>
        <w:ind w:firstLine="396" w:firstLineChars="200"/>
        <w:rPr>
          <w:rFonts w:hint="eastAsia" w:ascii="宋体" w:hAnsi="宋体" w:eastAsia="宋体" w:cs="宋体"/>
          <w:bCs/>
          <w:spacing w:val="-6"/>
          <w:sz w:val="21"/>
          <w:szCs w:val="21"/>
          <w:highlight w:val="none"/>
        </w:rPr>
      </w:pPr>
      <w:r>
        <w:rPr>
          <w:rFonts w:hint="eastAsia" w:ascii="宋体" w:hAnsi="宋体" w:eastAsia="宋体" w:cs="宋体"/>
          <w:spacing w:val="-6"/>
          <w:sz w:val="21"/>
          <w:szCs w:val="21"/>
          <w:highlight w:val="none"/>
        </w:rPr>
        <w:t>1.投标人定期存</w:t>
      </w:r>
      <w:r>
        <w:rPr>
          <w:rFonts w:hint="eastAsia" w:ascii="宋体" w:hAnsi="宋体" w:eastAsia="宋体" w:cs="宋体"/>
          <w:bCs/>
          <w:spacing w:val="-6"/>
          <w:sz w:val="21"/>
          <w:szCs w:val="21"/>
          <w:highlight w:val="none"/>
        </w:rPr>
        <w:t>款投标利率应符合国家利率政策相关规定和浙江省市场利率定价自律机制约定范围。</w:t>
      </w:r>
    </w:p>
    <w:p w14:paraId="1AE962B4">
      <w:pPr>
        <w:spacing w:line="360" w:lineRule="auto"/>
        <w:ind w:firstLine="396" w:firstLineChars="200"/>
        <w:rPr>
          <w:rFonts w:hint="eastAsia" w:ascii="宋体" w:hAnsi="宋体" w:eastAsia="宋体" w:cs="宋体"/>
          <w:bCs/>
          <w:spacing w:val="-6"/>
          <w:sz w:val="21"/>
          <w:szCs w:val="21"/>
          <w:highlight w:val="none"/>
        </w:rPr>
      </w:pPr>
      <w:r>
        <w:rPr>
          <w:rFonts w:hint="eastAsia" w:ascii="宋体" w:hAnsi="宋体" w:eastAsia="宋体" w:cs="宋体"/>
          <w:bCs/>
          <w:spacing w:val="-6"/>
          <w:sz w:val="21"/>
          <w:szCs w:val="21"/>
          <w:highlight w:val="none"/>
        </w:rPr>
        <w:t>2.采用综合评分法，总分为100分。合格投标人的评标得分为各项目汇总得分，中标资格按照评标总得分由高到低顺序排列，得分相同的，依次按定期存款利率、服务水平、经营状况、经济贡献度指标分值由高到低排序，全部相同采用抽签决定，</w:t>
      </w:r>
      <w:r>
        <w:rPr>
          <w:rFonts w:hint="eastAsia" w:ascii="宋体" w:hAnsi="宋体" w:eastAsia="宋体" w:cs="宋体"/>
          <w:bCs/>
          <w:spacing w:val="-6"/>
          <w:sz w:val="21"/>
          <w:szCs w:val="21"/>
          <w:highlight w:val="none"/>
        </w:rPr>
        <w:t>依次推荐</w:t>
      </w:r>
      <w:r>
        <w:rPr>
          <w:rFonts w:hint="eastAsia" w:ascii="宋体" w:hAnsi="宋体" w:cs="宋体"/>
          <w:bCs/>
          <w:spacing w:val="-6"/>
          <w:sz w:val="21"/>
          <w:szCs w:val="21"/>
          <w:highlight w:val="none"/>
          <w:lang w:val="en-US" w:eastAsia="zh-CN"/>
        </w:rPr>
        <w:t>三</w:t>
      </w:r>
      <w:r>
        <w:rPr>
          <w:rFonts w:hint="eastAsia" w:ascii="宋体" w:hAnsi="宋体" w:eastAsia="宋体" w:cs="宋体"/>
          <w:bCs/>
          <w:spacing w:val="-6"/>
          <w:sz w:val="21"/>
          <w:szCs w:val="21"/>
          <w:highlight w:val="none"/>
        </w:rPr>
        <w:t>名中标候选人</w:t>
      </w:r>
      <w:r>
        <w:rPr>
          <w:rFonts w:hint="eastAsia" w:ascii="宋体" w:hAnsi="宋体" w:eastAsia="宋体" w:cs="宋体"/>
          <w:bCs/>
          <w:spacing w:val="-6"/>
          <w:sz w:val="21"/>
          <w:szCs w:val="21"/>
          <w:highlight w:val="none"/>
        </w:rPr>
        <w:t>，并编写评选报告。评分过程中采用四舍五入法，并保留小数2位。</w:t>
      </w:r>
    </w:p>
    <w:p w14:paraId="1B5DA967">
      <w:pPr>
        <w:spacing w:line="360" w:lineRule="auto"/>
        <w:ind w:firstLine="396" w:firstLineChars="200"/>
        <w:rPr>
          <w:rFonts w:hint="eastAsia" w:ascii="宋体" w:hAnsi="宋体" w:eastAsia="宋体" w:cs="宋体"/>
          <w:bCs/>
          <w:spacing w:val="-6"/>
          <w:sz w:val="21"/>
          <w:szCs w:val="21"/>
          <w:highlight w:val="none"/>
        </w:rPr>
      </w:pPr>
      <w:r>
        <w:rPr>
          <w:rFonts w:hint="eastAsia" w:ascii="宋体" w:hAnsi="宋体" w:eastAsia="宋体" w:cs="宋体"/>
          <w:bCs/>
          <w:spacing w:val="-6"/>
          <w:sz w:val="21"/>
          <w:szCs w:val="21"/>
          <w:highlight w:val="none"/>
        </w:rPr>
        <w:t>投标人评标综合得分=定期存款利率水平指标分值+服务水平</w:t>
      </w:r>
      <w:bookmarkStart w:id="4" w:name="_GoBack"/>
      <w:bookmarkEnd w:id="4"/>
      <w:r>
        <w:rPr>
          <w:rFonts w:hint="eastAsia" w:ascii="宋体" w:hAnsi="宋体" w:eastAsia="宋体" w:cs="宋体"/>
          <w:bCs/>
          <w:spacing w:val="-6"/>
          <w:sz w:val="21"/>
          <w:szCs w:val="21"/>
          <w:highlight w:val="none"/>
        </w:rPr>
        <w:t>指标分值+经营状况指标分值+经济贡献度指标分值，服务水平、经营状况、经济贡献度指标分值按照评标委员会成员的独立评分结果汇总数的算术平均分计算，计算公式为：服务水平、经营状况、经济贡献度指标分值=评标委员会所有成员评分合计数÷评标委员会人数。</w:t>
      </w:r>
    </w:p>
    <w:p w14:paraId="629BA201">
      <w:pPr>
        <w:spacing w:line="360" w:lineRule="auto"/>
        <w:rPr>
          <w:rFonts w:hint="eastAsia" w:ascii="宋体" w:hAnsi="宋体" w:eastAsia="宋体" w:cs="宋体"/>
          <w:b/>
          <w:spacing w:val="-6"/>
          <w:sz w:val="21"/>
          <w:szCs w:val="21"/>
          <w:highlight w:val="none"/>
        </w:rPr>
      </w:pPr>
      <w:r>
        <w:rPr>
          <w:rFonts w:hint="eastAsia" w:ascii="宋体" w:hAnsi="宋体" w:eastAsia="宋体" w:cs="宋体"/>
          <w:b/>
          <w:spacing w:val="-6"/>
          <w:sz w:val="21"/>
          <w:szCs w:val="21"/>
          <w:highlight w:val="none"/>
        </w:rPr>
        <w:t>二、评标内容及标准</w:t>
      </w:r>
    </w:p>
    <w:tbl>
      <w:tblPr>
        <w:tblStyle w:val="24"/>
        <w:tblW w:w="10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22"/>
        <w:gridCol w:w="663"/>
        <w:gridCol w:w="7034"/>
      </w:tblGrid>
      <w:tr w14:paraId="4820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405" w:type="dxa"/>
            <w:gridSpan w:val="2"/>
            <w:vAlign w:val="center"/>
          </w:tcPr>
          <w:p w14:paraId="716D92B0">
            <w:pPr>
              <w:keepNext w:val="0"/>
              <w:keepLines w:val="0"/>
              <w:suppressLineNumbers w:val="0"/>
              <w:snapToGrid w:val="0"/>
              <w:spacing w:before="0" w:beforeAutospacing="0" w:after="0" w:afterAutospacing="0" w:line="288" w:lineRule="auto"/>
              <w:ind w:left="0" w:right="0"/>
              <w:jc w:val="center"/>
              <w:rPr>
                <w:rFonts w:hint="default" w:ascii="宋体" w:hAnsi="宋体" w:cs="宋体"/>
                <w:b/>
                <w:bCs/>
                <w:color w:val="auto"/>
                <w:sz w:val="21"/>
                <w:szCs w:val="21"/>
                <w:highlight w:val="none"/>
              </w:rPr>
            </w:pPr>
            <w:bookmarkStart w:id="2" w:name="_Hlk192509804"/>
            <w:r>
              <w:rPr>
                <w:rFonts w:hint="eastAsia" w:ascii="宋体" w:hAnsi="宋体" w:cs="宋体"/>
                <w:b/>
                <w:bCs/>
                <w:color w:val="auto"/>
                <w:sz w:val="21"/>
                <w:szCs w:val="21"/>
                <w:highlight w:val="none"/>
              </w:rPr>
              <w:t>评分项目</w:t>
            </w:r>
          </w:p>
        </w:tc>
        <w:tc>
          <w:tcPr>
            <w:tcW w:w="663" w:type="dxa"/>
            <w:vAlign w:val="center"/>
          </w:tcPr>
          <w:p w14:paraId="15C1FEEE">
            <w:pPr>
              <w:keepNext w:val="0"/>
              <w:keepLines w:val="0"/>
              <w:suppressLineNumbers w:val="0"/>
              <w:snapToGrid w:val="0"/>
              <w:spacing w:before="0" w:beforeAutospacing="0" w:after="0" w:afterAutospacing="0" w:line="288" w:lineRule="auto"/>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分值</w:t>
            </w:r>
          </w:p>
        </w:tc>
        <w:tc>
          <w:tcPr>
            <w:tcW w:w="7034" w:type="dxa"/>
            <w:vAlign w:val="center"/>
          </w:tcPr>
          <w:p w14:paraId="3F35B817">
            <w:pPr>
              <w:keepNext w:val="0"/>
              <w:keepLines w:val="0"/>
              <w:suppressLineNumbers w:val="0"/>
              <w:snapToGrid w:val="0"/>
              <w:spacing w:before="0" w:beforeAutospacing="0" w:after="0" w:afterAutospacing="0" w:line="288" w:lineRule="auto"/>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评标要点及说明</w:t>
            </w:r>
          </w:p>
        </w:tc>
      </w:tr>
      <w:tr w14:paraId="3E43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83" w:type="dxa"/>
            <w:vAlign w:val="center"/>
          </w:tcPr>
          <w:p w14:paraId="7F55A822">
            <w:pPr>
              <w:keepNext w:val="0"/>
              <w:keepLines w:val="0"/>
              <w:suppressLineNumbers w:val="0"/>
              <w:autoSpaceDE w:val="0"/>
              <w:autoSpaceDN w:val="0"/>
              <w:spacing w:before="0" w:beforeAutospacing="0" w:after="0" w:afterAutospacing="0" w:line="240" w:lineRule="auto"/>
              <w:ind w:left="0" w:right="0"/>
              <w:jc w:val="center"/>
              <w:rPr>
                <w:rFonts w:hint="eastAsia" w:ascii="宋体" w:hAnsi="宋体" w:cs="宋体"/>
                <w:b/>
                <w:bCs/>
                <w:sz w:val="21"/>
                <w:szCs w:val="21"/>
                <w:highlight w:val="none"/>
              </w:rPr>
            </w:pPr>
            <w:r>
              <w:rPr>
                <w:rFonts w:hint="eastAsia" w:ascii="宋体" w:hAnsi="宋体" w:cs="宋体"/>
                <w:b/>
                <w:bCs/>
                <w:sz w:val="21"/>
                <w:szCs w:val="21"/>
                <w:highlight w:val="none"/>
              </w:rPr>
              <w:t>利率水平指标</w:t>
            </w:r>
          </w:p>
          <w:p w14:paraId="3235AF8D">
            <w:pPr>
              <w:keepNext w:val="0"/>
              <w:keepLines w:val="0"/>
              <w:suppressLineNumbers w:val="0"/>
              <w:autoSpaceDE w:val="0"/>
              <w:autoSpaceDN w:val="0"/>
              <w:spacing w:before="0" w:beforeAutospacing="0" w:after="0" w:afterAutospacing="0" w:line="240" w:lineRule="auto"/>
              <w:ind w:left="0" w:leftChars="0" w:right="0" w:rightChars="0"/>
              <w:jc w:val="center"/>
              <w:rPr>
                <w:rFonts w:hint="eastAsia" w:ascii="宋体" w:hAnsi="宋体" w:cs="宋体"/>
                <w:b/>
                <w:bCs/>
                <w:color w:val="auto"/>
                <w:sz w:val="21"/>
                <w:szCs w:val="21"/>
                <w:highlight w:val="none"/>
              </w:rPr>
            </w:pP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20</w:t>
            </w:r>
            <w:r>
              <w:rPr>
                <w:rFonts w:hint="eastAsia" w:ascii="宋体" w:hAnsi="宋体" w:cs="宋体"/>
                <w:b/>
                <w:bCs/>
                <w:sz w:val="21"/>
                <w:szCs w:val="21"/>
                <w:highlight w:val="none"/>
              </w:rPr>
              <w:t>分)</w:t>
            </w:r>
          </w:p>
        </w:tc>
        <w:tc>
          <w:tcPr>
            <w:tcW w:w="1322" w:type="dxa"/>
            <w:vAlign w:val="center"/>
          </w:tcPr>
          <w:p w14:paraId="2F9563F8">
            <w:pPr>
              <w:keepNext w:val="0"/>
              <w:keepLines w:val="0"/>
              <w:suppressLineNumbers w:val="0"/>
              <w:snapToGrid w:val="0"/>
              <w:spacing w:before="0" w:beforeAutospacing="0" w:after="0" w:afterAutospacing="0" w:line="240" w:lineRule="auto"/>
              <w:ind w:left="0" w:leftChars="0" w:right="0" w:rightChars="0"/>
              <w:jc w:val="center"/>
              <w:rPr>
                <w:rFonts w:hint="eastAsia" w:ascii="宋体" w:cs="宋体"/>
                <w:color w:val="auto"/>
                <w:kern w:val="0"/>
                <w:sz w:val="21"/>
                <w:szCs w:val="21"/>
                <w:highlight w:val="none"/>
              </w:rPr>
            </w:pPr>
            <w:r>
              <w:rPr>
                <w:rFonts w:hint="eastAsia" w:ascii="宋体" w:hAnsi="宋体" w:cs="宋体"/>
                <w:sz w:val="21"/>
                <w:szCs w:val="21"/>
                <w:highlight w:val="none"/>
              </w:rPr>
              <w:t>利率报价</w:t>
            </w:r>
          </w:p>
        </w:tc>
        <w:tc>
          <w:tcPr>
            <w:tcW w:w="663" w:type="dxa"/>
            <w:vAlign w:val="center"/>
          </w:tcPr>
          <w:p w14:paraId="24995250">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auto"/>
                <w:sz w:val="21"/>
                <w:szCs w:val="21"/>
                <w:highlight w:val="none"/>
                <w:lang w:eastAsia="zh-CN"/>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0</w:t>
            </w:r>
          </w:p>
        </w:tc>
        <w:tc>
          <w:tcPr>
            <w:tcW w:w="7034" w:type="dxa"/>
            <w:vAlign w:val="center"/>
          </w:tcPr>
          <w:p w14:paraId="1A8799E2">
            <w:pPr>
              <w:keepNext w:val="0"/>
              <w:keepLines w:val="0"/>
              <w:suppressLineNumbers w:val="0"/>
              <w:spacing w:before="0" w:beforeAutospacing="0" w:after="0" w:afterAutospacing="0" w:line="240" w:lineRule="auto"/>
              <w:ind w:left="0" w:leftChars="0" w:right="0" w:rightChars="0"/>
              <w:rPr>
                <w:rFonts w:hint="eastAsia" w:ascii="宋体" w:hAnsi="等线" w:cs="宋体"/>
                <w:color w:val="auto"/>
                <w:kern w:val="0"/>
                <w:sz w:val="21"/>
                <w:szCs w:val="21"/>
                <w:highlight w:val="none"/>
              </w:rPr>
            </w:pPr>
            <w:r>
              <w:rPr>
                <w:rFonts w:hint="eastAsia" w:ascii="宋体" w:hAnsi="宋体" w:cs="宋体"/>
                <w:spacing w:val="-6"/>
                <w:sz w:val="21"/>
                <w:szCs w:val="21"/>
                <w:highlight w:val="none"/>
              </w:rPr>
              <w:t>满足招标文件要求且一年定期存款年利率报价最高的为评标基准价，其他投标银行的报价得分按照下列公式计算：利率报价得分=（一年定期存款年利率/评标基准价）×</w:t>
            </w:r>
            <w:r>
              <w:rPr>
                <w:rFonts w:hint="eastAsia" w:ascii="宋体" w:hAnsi="宋体" w:cs="宋体"/>
                <w:spacing w:val="-6"/>
                <w:sz w:val="21"/>
                <w:szCs w:val="21"/>
                <w:highlight w:val="none"/>
                <w:lang w:val="en-US" w:eastAsia="zh-CN"/>
              </w:rPr>
              <w:t>20</w:t>
            </w:r>
            <w:r>
              <w:rPr>
                <w:rFonts w:hint="eastAsia" w:ascii="宋体" w:hAnsi="宋体" w:cs="宋体"/>
                <w:spacing w:val="-6"/>
                <w:sz w:val="21"/>
                <w:szCs w:val="21"/>
                <w:highlight w:val="none"/>
              </w:rPr>
              <w:t>。</w:t>
            </w:r>
          </w:p>
        </w:tc>
      </w:tr>
      <w:tr w14:paraId="3446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083" w:type="dxa"/>
            <w:vMerge w:val="restart"/>
            <w:vAlign w:val="center"/>
          </w:tcPr>
          <w:p w14:paraId="24AC8F59">
            <w:pPr>
              <w:keepNext w:val="0"/>
              <w:keepLines w:val="0"/>
              <w:suppressLineNumbers w:val="0"/>
              <w:autoSpaceDE w:val="0"/>
              <w:autoSpaceDN w:val="0"/>
              <w:spacing w:before="0" w:beforeAutospacing="0" w:after="0" w:afterAutospacing="0" w:line="240" w:lineRule="auto"/>
              <w:ind w:left="0" w:right="0"/>
              <w:jc w:val="center"/>
              <w:rPr>
                <w:rFonts w:hint="default" w:ascii="宋体" w:hAnsi="宋体" w:cs="宋体"/>
                <w:b/>
                <w:bCs/>
                <w:sz w:val="21"/>
                <w:szCs w:val="21"/>
                <w:highlight w:val="none"/>
              </w:rPr>
            </w:pPr>
            <w:r>
              <w:rPr>
                <w:rFonts w:hint="eastAsia" w:ascii="宋体" w:hAnsi="宋体" w:cs="宋体"/>
                <w:b/>
                <w:bCs/>
                <w:sz w:val="21"/>
                <w:szCs w:val="21"/>
                <w:highlight w:val="none"/>
              </w:rPr>
              <w:t>服务水平指标</w:t>
            </w:r>
          </w:p>
          <w:p w14:paraId="5856590E">
            <w:pPr>
              <w:keepNext w:val="0"/>
              <w:keepLines w:val="0"/>
              <w:suppressLineNumbers w:val="0"/>
              <w:autoSpaceDE w:val="0"/>
              <w:autoSpaceDN w:val="0"/>
              <w:spacing w:before="0" w:beforeAutospacing="0" w:after="0" w:afterAutospacing="0" w:line="240" w:lineRule="auto"/>
              <w:ind w:left="0" w:leftChars="0" w:right="0" w:rightChars="0"/>
              <w:jc w:val="center"/>
              <w:rPr>
                <w:rFonts w:hint="default" w:ascii="宋体" w:hAnsi="宋体" w:cs="宋体"/>
                <w:b/>
                <w:bCs/>
                <w:color w:val="auto"/>
                <w:sz w:val="21"/>
                <w:szCs w:val="21"/>
                <w:highlight w:val="none"/>
              </w:rPr>
            </w:pP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20</w:t>
            </w:r>
            <w:r>
              <w:rPr>
                <w:rFonts w:hint="eastAsia" w:ascii="宋体" w:hAnsi="宋体" w:cs="宋体"/>
                <w:b/>
                <w:bCs/>
                <w:sz w:val="21"/>
                <w:szCs w:val="21"/>
                <w:highlight w:val="none"/>
              </w:rPr>
              <w:t>分)</w:t>
            </w:r>
          </w:p>
        </w:tc>
        <w:tc>
          <w:tcPr>
            <w:tcW w:w="1322" w:type="dxa"/>
            <w:vMerge w:val="restart"/>
            <w:vAlign w:val="center"/>
          </w:tcPr>
          <w:p w14:paraId="3B1F5F95">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default" w:ascii="宋体" w:hAnsi="宋体" w:cs="宋体"/>
                <w:color w:val="auto"/>
                <w:sz w:val="21"/>
                <w:szCs w:val="21"/>
                <w:highlight w:val="none"/>
              </w:rPr>
            </w:pPr>
            <w:r>
              <w:rPr>
                <w:rFonts w:hint="eastAsia" w:ascii="宋体" w:hAnsi="宋体" w:cs="宋体"/>
                <w:kern w:val="0"/>
                <w:sz w:val="21"/>
                <w:szCs w:val="21"/>
                <w:highlight w:val="none"/>
              </w:rPr>
              <w:t>1.以往提供服务情况</w:t>
            </w:r>
          </w:p>
        </w:tc>
        <w:tc>
          <w:tcPr>
            <w:tcW w:w="663" w:type="dxa"/>
            <w:vAlign w:val="center"/>
          </w:tcPr>
          <w:p w14:paraId="36AE0556">
            <w:pPr>
              <w:keepNext w:val="0"/>
              <w:keepLines w:val="0"/>
              <w:suppressLineNumbers w:val="0"/>
              <w:adjustRightInd w:val="0"/>
              <w:snapToGrid w:val="0"/>
              <w:spacing w:before="0" w:beforeAutospacing="0" w:after="0" w:afterAutospacing="0" w:line="240" w:lineRule="auto"/>
              <w:ind w:left="0" w:leftChars="0" w:right="0" w:rightChars="0"/>
              <w:jc w:val="center"/>
              <w:rPr>
                <w:rFonts w:hint="eastAsia" w:ascii="宋体" w:hAnsi="宋体" w:cs="宋体"/>
                <w:color w:val="auto"/>
                <w:sz w:val="21"/>
                <w:szCs w:val="21"/>
                <w:highlight w:val="none"/>
              </w:rPr>
            </w:pPr>
            <w:r>
              <w:rPr>
                <w:rFonts w:hint="eastAsia" w:ascii="宋体" w:hAnsi="宋体" w:cs="宋体"/>
                <w:kern w:val="0"/>
                <w:sz w:val="21"/>
                <w:szCs w:val="21"/>
                <w:highlight w:val="none"/>
                <w:lang w:val="en-US" w:eastAsia="zh-CN"/>
              </w:rPr>
              <w:t>6</w:t>
            </w:r>
          </w:p>
        </w:tc>
        <w:tc>
          <w:tcPr>
            <w:tcW w:w="7034" w:type="dxa"/>
            <w:vAlign w:val="center"/>
          </w:tcPr>
          <w:p w14:paraId="66A3F594">
            <w:pPr>
              <w:keepNext w:val="0"/>
              <w:keepLines w:val="0"/>
              <w:widowControl w:val="0"/>
              <w:suppressLineNumbers w:val="0"/>
              <w:autoSpaceDE w:val="0"/>
              <w:autoSpaceDN w:val="0"/>
              <w:adjustRightInd w:val="0"/>
              <w:spacing w:before="0" w:beforeAutospacing="0" w:after="0" w:afterAutospacing="0" w:line="240" w:lineRule="auto"/>
              <w:ind w:left="0" w:leftChars="0" w:right="0" w:rightChars="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1.投标银行自202</w:t>
            </w:r>
            <w:r>
              <w:rPr>
                <w:rFonts w:hint="default" w:ascii="宋体" w:hAnsi="宋体" w:cs="宋体"/>
                <w:color w:val="auto"/>
                <w:kern w:val="0"/>
                <w:sz w:val="21"/>
                <w:szCs w:val="21"/>
                <w:highlight w:val="none"/>
                <w:lang w:val="en-US" w:eastAsia="zh-CN"/>
              </w:rPr>
              <w:t>5</w:t>
            </w:r>
            <w:r>
              <w:rPr>
                <w:rFonts w:hint="default" w:ascii="宋体" w:hAnsi="宋体" w:cs="宋体"/>
                <w:color w:val="auto"/>
                <w:kern w:val="0"/>
                <w:sz w:val="21"/>
                <w:szCs w:val="21"/>
                <w:highlight w:val="none"/>
              </w:rPr>
              <w:t>年</w:t>
            </w:r>
            <w:r>
              <w:rPr>
                <w:rFonts w:hint="default" w:ascii="宋体" w:hAnsi="宋体" w:cs="宋体"/>
                <w:color w:val="auto"/>
                <w:kern w:val="0"/>
                <w:sz w:val="21"/>
                <w:szCs w:val="21"/>
                <w:highlight w:val="none"/>
                <w:lang w:val="en-US" w:eastAsia="zh-CN"/>
              </w:rPr>
              <w:t>6</w:t>
            </w:r>
            <w:r>
              <w:rPr>
                <w:rFonts w:hint="default" w:ascii="宋体" w:hAnsi="宋体" w:cs="宋体"/>
                <w:color w:val="auto"/>
                <w:kern w:val="0"/>
                <w:sz w:val="21"/>
                <w:szCs w:val="21"/>
                <w:highlight w:val="none"/>
              </w:rPr>
              <w:t>月</w:t>
            </w:r>
            <w:r>
              <w:rPr>
                <w:rFonts w:hint="default" w:ascii="宋体" w:hAnsi="宋体" w:cs="宋体"/>
                <w:color w:val="auto"/>
                <w:kern w:val="0"/>
                <w:sz w:val="21"/>
                <w:szCs w:val="21"/>
                <w:highlight w:val="none"/>
                <w:lang w:val="en-US" w:eastAsia="zh-CN"/>
              </w:rPr>
              <w:t>1</w:t>
            </w:r>
            <w:r>
              <w:rPr>
                <w:rFonts w:hint="default" w:ascii="宋体" w:hAnsi="宋体" w:cs="宋体"/>
                <w:color w:val="auto"/>
                <w:kern w:val="0"/>
                <w:sz w:val="21"/>
                <w:szCs w:val="21"/>
                <w:highlight w:val="none"/>
              </w:rPr>
              <w:t>日以来为招标人及招标人基金会提供过信息化建设、人才培养等教学科研事业发展的支持情况。按照支持力度，总投入大于</w:t>
            </w:r>
            <w:r>
              <w:rPr>
                <w:rFonts w:hint="default" w:ascii="宋体" w:hAnsi="宋体" w:cs="宋体"/>
                <w:color w:val="auto"/>
                <w:kern w:val="0"/>
                <w:sz w:val="21"/>
                <w:szCs w:val="21"/>
                <w:highlight w:val="none"/>
                <w:lang w:val="en-US" w:eastAsia="zh-CN"/>
              </w:rPr>
              <w:t>3</w:t>
            </w:r>
            <w:r>
              <w:rPr>
                <w:rFonts w:hint="default" w:ascii="宋体" w:hAnsi="宋体" w:cs="宋体"/>
                <w:color w:val="auto"/>
                <w:kern w:val="0"/>
                <w:sz w:val="21"/>
                <w:szCs w:val="21"/>
                <w:highlight w:val="none"/>
              </w:rPr>
              <w:t>0万元(含)得</w:t>
            </w:r>
            <w:r>
              <w:rPr>
                <w:rFonts w:hint="eastAsia" w:ascii="宋体" w:hAnsi="宋体" w:cs="宋体"/>
                <w:color w:val="auto"/>
                <w:kern w:val="0"/>
                <w:sz w:val="21"/>
                <w:szCs w:val="21"/>
                <w:highlight w:val="none"/>
                <w:lang w:val="en-US" w:eastAsia="zh-CN"/>
              </w:rPr>
              <w:t>6</w:t>
            </w:r>
            <w:r>
              <w:rPr>
                <w:rFonts w:hint="default" w:ascii="宋体" w:hAnsi="宋体" w:cs="宋体"/>
                <w:color w:val="auto"/>
                <w:kern w:val="0"/>
                <w:sz w:val="21"/>
                <w:szCs w:val="21"/>
                <w:highlight w:val="none"/>
              </w:rPr>
              <w:t>分;</w:t>
            </w:r>
            <w:r>
              <w:rPr>
                <w:rFonts w:hint="default" w:ascii="宋体" w:hAnsi="宋体" w:cs="宋体"/>
                <w:color w:val="auto"/>
                <w:kern w:val="0"/>
                <w:sz w:val="21"/>
                <w:szCs w:val="21"/>
                <w:highlight w:val="none"/>
                <w:lang w:val="en-US" w:eastAsia="zh-CN"/>
              </w:rPr>
              <w:t>3</w:t>
            </w:r>
            <w:r>
              <w:rPr>
                <w:rFonts w:hint="default" w:ascii="宋体" w:hAnsi="宋体" w:cs="宋体"/>
                <w:color w:val="auto"/>
                <w:kern w:val="0"/>
                <w:sz w:val="21"/>
                <w:szCs w:val="21"/>
                <w:highlight w:val="none"/>
              </w:rPr>
              <w:t>0万元(不含)-10万元(含)得</w:t>
            </w:r>
            <w:r>
              <w:rPr>
                <w:rFonts w:hint="eastAsia" w:ascii="宋体" w:hAnsi="宋体" w:cs="宋体"/>
                <w:color w:val="auto"/>
                <w:kern w:val="0"/>
                <w:sz w:val="21"/>
                <w:szCs w:val="21"/>
                <w:highlight w:val="none"/>
                <w:lang w:val="en-US" w:eastAsia="zh-CN"/>
              </w:rPr>
              <w:t>4</w:t>
            </w:r>
            <w:r>
              <w:rPr>
                <w:rFonts w:hint="default" w:ascii="宋体" w:hAnsi="宋体" w:cs="宋体"/>
                <w:color w:val="auto"/>
                <w:kern w:val="0"/>
                <w:sz w:val="21"/>
                <w:szCs w:val="21"/>
                <w:highlight w:val="none"/>
              </w:rPr>
              <w:t>分;10万元（不含）-5万元（含）得2分，5万元以下得1分。;未提供不得分</w:t>
            </w:r>
            <w:r>
              <w:rPr>
                <w:rFonts w:hint="default" w:ascii="宋体" w:hAnsi="宋体" w:cs="宋体"/>
                <w:b/>
                <w:bCs/>
                <w:color w:val="auto"/>
                <w:kern w:val="0"/>
                <w:sz w:val="21"/>
                <w:szCs w:val="21"/>
                <w:highlight w:val="none"/>
              </w:rPr>
              <w:t>(提供佐证材料，佐证材料由学校相关职能部门及计划财务处盖章确认，不提供不得分)。</w:t>
            </w:r>
          </w:p>
        </w:tc>
      </w:tr>
      <w:tr w14:paraId="1521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083" w:type="dxa"/>
            <w:vMerge w:val="continue"/>
            <w:vAlign w:val="center"/>
          </w:tcPr>
          <w:p w14:paraId="2E911BE6">
            <w:pPr>
              <w:keepNext w:val="0"/>
              <w:keepLines w:val="0"/>
              <w:suppressLineNumbers w:val="0"/>
              <w:adjustRightInd w:val="0"/>
              <w:snapToGrid w:val="0"/>
              <w:spacing w:before="0" w:beforeAutospacing="0" w:after="0" w:afterAutospacing="0" w:line="240" w:lineRule="auto"/>
              <w:ind w:left="0" w:leftChars="0" w:right="0" w:rightChars="0"/>
              <w:rPr>
                <w:rFonts w:hint="eastAsia" w:ascii="宋体" w:hAnsi="宋体" w:cs="宋体"/>
                <w:b/>
                <w:bCs/>
                <w:color w:val="auto"/>
                <w:sz w:val="21"/>
                <w:szCs w:val="21"/>
                <w:highlight w:val="none"/>
              </w:rPr>
            </w:pPr>
          </w:p>
        </w:tc>
        <w:tc>
          <w:tcPr>
            <w:tcW w:w="1322" w:type="dxa"/>
            <w:vMerge w:val="continue"/>
            <w:vAlign w:val="center"/>
          </w:tcPr>
          <w:p w14:paraId="0D732E83">
            <w:pPr>
              <w:keepNext w:val="0"/>
              <w:keepLines w:val="0"/>
              <w:suppressLineNumbers w:val="0"/>
              <w:adjustRightInd w:val="0"/>
              <w:snapToGrid w:val="0"/>
              <w:spacing w:before="0" w:beforeAutospacing="0" w:after="0" w:afterAutospacing="0" w:line="240" w:lineRule="auto"/>
              <w:ind w:left="0" w:leftChars="0" w:right="0" w:rightChars="0"/>
              <w:rPr>
                <w:rFonts w:hint="eastAsia" w:ascii="宋体" w:hAnsi="宋体" w:cs="宋体"/>
                <w:color w:val="auto"/>
                <w:kern w:val="0"/>
                <w:sz w:val="21"/>
                <w:szCs w:val="21"/>
                <w:highlight w:val="none"/>
              </w:rPr>
            </w:pPr>
          </w:p>
        </w:tc>
        <w:tc>
          <w:tcPr>
            <w:tcW w:w="663" w:type="dxa"/>
            <w:vAlign w:val="center"/>
          </w:tcPr>
          <w:p w14:paraId="02DCCA0F">
            <w:pPr>
              <w:keepNext w:val="0"/>
              <w:keepLines w:val="0"/>
              <w:suppressLineNumbers w:val="0"/>
              <w:adjustRightInd w:val="0"/>
              <w:snapToGrid w:val="0"/>
              <w:spacing w:before="0" w:beforeAutospacing="0" w:after="0" w:afterAutospacing="0" w:line="240" w:lineRule="auto"/>
              <w:ind w:left="0" w:leftChars="0" w:right="0" w:rightChars="0"/>
              <w:jc w:val="center"/>
              <w:rPr>
                <w:rFonts w:hint="eastAsia" w:ascii="宋体" w:hAnsi="宋体" w:cs="宋体"/>
                <w:color w:val="auto"/>
                <w:kern w:val="0"/>
                <w:sz w:val="21"/>
                <w:szCs w:val="21"/>
                <w:highlight w:val="none"/>
              </w:rPr>
            </w:pPr>
            <w:r>
              <w:rPr>
                <w:rFonts w:hint="eastAsia" w:ascii="宋体" w:hAnsi="宋体" w:cs="宋体"/>
                <w:kern w:val="0"/>
                <w:sz w:val="21"/>
                <w:szCs w:val="21"/>
                <w:highlight w:val="none"/>
                <w:lang w:val="en-US" w:eastAsia="zh-CN"/>
              </w:rPr>
              <w:t>5</w:t>
            </w:r>
          </w:p>
        </w:tc>
        <w:tc>
          <w:tcPr>
            <w:tcW w:w="7034" w:type="dxa"/>
            <w:vAlign w:val="center"/>
          </w:tcPr>
          <w:p w14:paraId="342AC54E">
            <w:pPr>
              <w:keepNext w:val="0"/>
              <w:keepLines w:val="0"/>
              <w:widowControl w:val="0"/>
              <w:suppressLineNumbers w:val="0"/>
              <w:autoSpaceDE w:val="0"/>
              <w:autoSpaceDN w:val="0"/>
              <w:adjustRightInd w:val="0"/>
              <w:spacing w:before="0" w:beforeAutospacing="0" w:after="0" w:afterAutospacing="0" w:line="240" w:lineRule="auto"/>
              <w:ind w:left="0" w:leftChars="0" w:right="0" w:right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投标银行自202</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日以来为招标人及招标人基金会提供过金融服务的，每有1项得</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分，最高得5分。金融服务包括但不限于网银服务、跨境汇款、代发职工薪酬、上门服务、定期存款等</w:t>
            </w:r>
            <w:r>
              <w:rPr>
                <w:rFonts w:hint="eastAsia" w:ascii="宋体" w:hAnsi="宋体" w:cs="宋体"/>
                <w:b/>
                <w:bCs/>
                <w:color w:val="auto"/>
                <w:kern w:val="0"/>
                <w:sz w:val="21"/>
                <w:szCs w:val="21"/>
                <w:highlight w:val="none"/>
              </w:rPr>
              <w:t>（提供佐证材料，佐证材料须</w:t>
            </w:r>
            <w:r>
              <w:rPr>
                <w:rFonts w:hint="eastAsia" w:ascii="宋体" w:hAnsi="宋体" w:cs="宋体"/>
                <w:b/>
                <w:bCs/>
                <w:color w:val="auto"/>
                <w:kern w:val="0"/>
                <w:sz w:val="21"/>
                <w:szCs w:val="21"/>
                <w:highlight w:val="none"/>
                <w:lang w:val="en-US" w:eastAsia="zh-CN"/>
              </w:rPr>
              <w:t>由</w:t>
            </w:r>
            <w:r>
              <w:rPr>
                <w:rFonts w:hint="eastAsia" w:ascii="宋体" w:hAnsi="宋体" w:cs="宋体"/>
                <w:b/>
                <w:bCs/>
                <w:color w:val="auto"/>
                <w:kern w:val="0"/>
                <w:sz w:val="21"/>
                <w:szCs w:val="21"/>
                <w:highlight w:val="none"/>
              </w:rPr>
              <w:t>学校计划财务处盖章确认，不提供不得分）。</w:t>
            </w:r>
          </w:p>
        </w:tc>
      </w:tr>
      <w:tr w14:paraId="1BDE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083" w:type="dxa"/>
            <w:vMerge w:val="continue"/>
            <w:vAlign w:val="center"/>
          </w:tcPr>
          <w:p w14:paraId="6372F73A">
            <w:pPr>
              <w:keepNext w:val="0"/>
              <w:keepLines w:val="0"/>
              <w:suppressLineNumbers w:val="0"/>
              <w:autoSpaceDE w:val="0"/>
              <w:autoSpaceDN w:val="0"/>
              <w:spacing w:before="0" w:beforeAutospacing="0" w:after="0" w:afterAutospacing="0" w:line="240" w:lineRule="auto"/>
              <w:ind w:left="0" w:leftChars="0" w:right="0" w:rightChars="0"/>
              <w:jc w:val="center"/>
              <w:rPr>
                <w:rFonts w:hint="eastAsia" w:ascii="宋体" w:hAnsi="宋体" w:cs="宋体"/>
                <w:b/>
                <w:bCs/>
                <w:color w:val="auto"/>
                <w:sz w:val="21"/>
                <w:szCs w:val="21"/>
                <w:highlight w:val="none"/>
              </w:rPr>
            </w:pPr>
          </w:p>
        </w:tc>
        <w:tc>
          <w:tcPr>
            <w:tcW w:w="1322" w:type="dxa"/>
            <w:vMerge w:val="continue"/>
            <w:vAlign w:val="center"/>
          </w:tcPr>
          <w:p w14:paraId="339056D6">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cs="宋体"/>
                <w:color w:val="auto"/>
                <w:kern w:val="0"/>
                <w:sz w:val="21"/>
                <w:szCs w:val="21"/>
                <w:highlight w:val="none"/>
              </w:rPr>
            </w:pPr>
          </w:p>
        </w:tc>
        <w:tc>
          <w:tcPr>
            <w:tcW w:w="663" w:type="dxa"/>
            <w:vAlign w:val="center"/>
          </w:tcPr>
          <w:p w14:paraId="7E02166A">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eastAsia" w:ascii="宋体" w:hAnsi="宋体" w:cs="宋体"/>
                <w:color w:val="auto"/>
                <w:kern w:val="0"/>
                <w:sz w:val="21"/>
                <w:szCs w:val="21"/>
                <w:highlight w:val="none"/>
              </w:rPr>
            </w:pPr>
            <w:r>
              <w:rPr>
                <w:rFonts w:hint="eastAsia" w:ascii="宋体" w:hAnsi="宋体" w:cs="宋体"/>
                <w:sz w:val="21"/>
                <w:szCs w:val="21"/>
                <w:highlight w:val="none"/>
                <w:lang w:val="en-US" w:eastAsia="zh-CN"/>
              </w:rPr>
              <w:t>2</w:t>
            </w:r>
          </w:p>
        </w:tc>
        <w:tc>
          <w:tcPr>
            <w:tcW w:w="7034" w:type="dxa"/>
            <w:vAlign w:val="center"/>
          </w:tcPr>
          <w:p w14:paraId="5C8533AA">
            <w:pPr>
              <w:keepNext w:val="0"/>
              <w:keepLines w:val="0"/>
              <w:widowControl w:val="0"/>
              <w:suppressLineNumbers w:val="0"/>
              <w:autoSpaceDE w:val="0"/>
              <w:autoSpaceDN w:val="0"/>
              <w:adjustRightInd w:val="0"/>
              <w:spacing w:before="0" w:beforeAutospacing="0" w:after="0" w:afterAutospacing="0" w:line="240" w:lineRule="auto"/>
              <w:ind w:left="0" w:leftChars="0" w:right="0" w:right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投标银行</w:t>
            </w:r>
            <w:r>
              <w:rPr>
                <w:rFonts w:hint="eastAsia" w:ascii="宋体" w:hAnsi="宋体" w:cs="宋体"/>
                <w:color w:val="auto"/>
                <w:kern w:val="0"/>
                <w:sz w:val="21"/>
                <w:szCs w:val="21"/>
                <w:highlight w:val="none"/>
                <w:lang w:val="en-US" w:eastAsia="zh-CN"/>
              </w:rPr>
              <w:t>自</w:t>
            </w:r>
            <w:r>
              <w:rPr>
                <w:rFonts w:hint="eastAsia" w:ascii="宋体" w:hAnsi="宋体" w:cs="宋体"/>
                <w:color w:val="auto"/>
                <w:kern w:val="0"/>
                <w:sz w:val="21"/>
                <w:szCs w:val="21"/>
                <w:highlight w:val="none"/>
              </w:rPr>
              <w:t>202</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日</w:t>
            </w:r>
            <w:r>
              <w:rPr>
                <w:rFonts w:hint="eastAsia" w:ascii="宋体" w:hAnsi="宋体" w:cs="宋体"/>
                <w:color w:val="auto"/>
                <w:kern w:val="0"/>
                <w:sz w:val="21"/>
                <w:szCs w:val="21"/>
                <w:highlight w:val="none"/>
                <w:lang w:val="en-US" w:eastAsia="zh-CN"/>
              </w:rPr>
              <w:t>以来</w:t>
            </w:r>
            <w:r>
              <w:rPr>
                <w:rFonts w:hint="eastAsia" w:ascii="宋体" w:hAnsi="宋体" w:cs="宋体"/>
                <w:color w:val="auto"/>
                <w:kern w:val="0"/>
                <w:sz w:val="21"/>
                <w:szCs w:val="21"/>
                <w:highlight w:val="none"/>
              </w:rPr>
              <w:t>为招标人及招标人基金会提供过讲座、反诈宣传等活动的</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每有</w:t>
            </w:r>
            <w:r>
              <w:rPr>
                <w:rFonts w:hint="eastAsia" w:ascii="宋体" w:hAnsi="宋体" w:cs="宋体"/>
                <w:color w:val="auto"/>
                <w:kern w:val="0"/>
                <w:sz w:val="21"/>
                <w:szCs w:val="21"/>
                <w:highlight w:val="none"/>
              </w:rPr>
              <w:t>一次得</w:t>
            </w:r>
            <w:r>
              <w:rPr>
                <w:rFonts w:hint="eastAsia" w:ascii="宋体" w:hAnsi="宋体" w:cs="宋体"/>
                <w:color w:val="auto"/>
                <w:kern w:val="0"/>
                <w:sz w:val="21"/>
                <w:szCs w:val="21"/>
                <w:highlight w:val="none"/>
                <w:lang w:val="en-US" w:eastAsia="zh-CN"/>
              </w:rPr>
              <w:t>0.5</w:t>
            </w:r>
            <w:r>
              <w:rPr>
                <w:rFonts w:hint="eastAsia" w:ascii="宋体" w:hAnsi="宋体" w:cs="宋体"/>
                <w:color w:val="auto"/>
                <w:kern w:val="0"/>
                <w:sz w:val="21"/>
                <w:szCs w:val="21"/>
                <w:highlight w:val="none"/>
              </w:rPr>
              <w:t>分，最高</w:t>
            </w:r>
            <w:r>
              <w:rPr>
                <w:rFonts w:hint="eastAsia" w:ascii="宋体" w:hAnsi="宋体" w:cs="宋体"/>
                <w:color w:val="auto"/>
                <w:kern w:val="0"/>
                <w:sz w:val="21"/>
                <w:szCs w:val="21"/>
                <w:highlight w:val="none"/>
                <w:lang w:val="en-US" w:eastAsia="zh-CN"/>
              </w:rPr>
              <w:t>得2</w:t>
            </w:r>
            <w:r>
              <w:rPr>
                <w:rFonts w:hint="eastAsia" w:ascii="宋体" w:hAnsi="宋体" w:cs="宋体"/>
                <w:color w:val="auto"/>
                <w:kern w:val="0"/>
                <w:sz w:val="21"/>
                <w:szCs w:val="21"/>
                <w:highlight w:val="none"/>
              </w:rPr>
              <w:t>分</w:t>
            </w:r>
            <w:r>
              <w:rPr>
                <w:rFonts w:hint="eastAsia" w:ascii="宋体" w:hAnsi="宋体" w:cs="宋体"/>
                <w:b/>
                <w:bCs/>
                <w:color w:val="auto"/>
                <w:kern w:val="0"/>
                <w:sz w:val="21"/>
                <w:szCs w:val="21"/>
                <w:highlight w:val="none"/>
              </w:rPr>
              <w:t>（提供佐证材料，佐证材料由学校相关职能部门及计划财务处盖章确认，不提供不得分）。</w:t>
            </w:r>
          </w:p>
        </w:tc>
      </w:tr>
      <w:tr w14:paraId="4DCD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83" w:type="dxa"/>
            <w:vMerge w:val="continue"/>
            <w:vAlign w:val="center"/>
          </w:tcPr>
          <w:p w14:paraId="3FBB78BC">
            <w:pPr>
              <w:keepNext w:val="0"/>
              <w:keepLines w:val="0"/>
              <w:suppressLineNumbers w:val="0"/>
              <w:autoSpaceDE w:val="0"/>
              <w:autoSpaceDN w:val="0"/>
              <w:spacing w:before="0" w:beforeAutospacing="0" w:after="0" w:afterAutospacing="0" w:line="240" w:lineRule="auto"/>
              <w:ind w:left="0" w:leftChars="0" w:right="0" w:rightChars="0"/>
              <w:jc w:val="center"/>
              <w:rPr>
                <w:rFonts w:hint="default" w:ascii="宋体" w:hAnsi="宋体" w:cs="宋体"/>
                <w:b/>
                <w:bCs/>
                <w:color w:val="auto"/>
                <w:sz w:val="21"/>
                <w:szCs w:val="21"/>
                <w:highlight w:val="none"/>
              </w:rPr>
            </w:pPr>
          </w:p>
        </w:tc>
        <w:tc>
          <w:tcPr>
            <w:tcW w:w="1322" w:type="dxa"/>
            <w:vMerge w:val="restart"/>
            <w:vAlign w:val="center"/>
          </w:tcPr>
          <w:p w14:paraId="58B3DE49">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default"/>
                <w:color w:val="auto"/>
                <w:sz w:val="21"/>
                <w:szCs w:val="21"/>
                <w:highlight w:val="none"/>
              </w:rPr>
            </w:pPr>
            <w:r>
              <w:rPr>
                <w:rFonts w:hint="eastAsia"/>
                <w:sz w:val="21"/>
                <w:szCs w:val="21"/>
                <w:highlight w:val="none"/>
                <w:lang w:val="en-US" w:eastAsia="zh-CN"/>
              </w:rPr>
              <w:t>2.</w:t>
            </w:r>
            <w:r>
              <w:rPr>
                <w:rFonts w:hint="default"/>
                <w:sz w:val="21"/>
                <w:szCs w:val="21"/>
                <w:highlight w:val="none"/>
              </w:rPr>
              <w:t>服务方案承诺</w:t>
            </w:r>
          </w:p>
        </w:tc>
        <w:tc>
          <w:tcPr>
            <w:tcW w:w="663" w:type="dxa"/>
            <w:vAlign w:val="center"/>
          </w:tcPr>
          <w:p w14:paraId="154FA2CA">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eastAsia" w:ascii="宋体" w:hAnsi="宋体" w:cs="宋体"/>
                <w:color w:val="auto"/>
                <w:sz w:val="21"/>
                <w:szCs w:val="21"/>
                <w:highlight w:val="none"/>
              </w:rPr>
            </w:pPr>
            <w:r>
              <w:rPr>
                <w:rFonts w:hint="eastAsia" w:ascii="宋体" w:hAnsi="宋体" w:cs="宋体"/>
                <w:sz w:val="21"/>
                <w:szCs w:val="21"/>
                <w:highlight w:val="none"/>
                <w:lang w:val="en-US" w:eastAsia="zh-CN"/>
              </w:rPr>
              <w:t>2</w:t>
            </w:r>
          </w:p>
        </w:tc>
        <w:tc>
          <w:tcPr>
            <w:tcW w:w="7034" w:type="dxa"/>
            <w:vAlign w:val="center"/>
          </w:tcPr>
          <w:p w14:paraId="4A845105">
            <w:pPr>
              <w:keepNext w:val="0"/>
              <w:keepLines w:val="0"/>
              <w:widowControl w:val="0"/>
              <w:suppressLineNumbers w:val="0"/>
              <w:autoSpaceDE w:val="0"/>
              <w:autoSpaceDN w:val="0"/>
              <w:adjustRightInd w:val="0"/>
              <w:spacing w:before="0" w:beforeAutospacing="0" w:after="0" w:afterAutospacing="0" w:line="240" w:lineRule="auto"/>
              <w:ind w:left="0" w:leftChars="0" w:right="0" w:rightChars="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服务方案承诺:投标银行自收服务费用及业务收费(包括网银手续费、保函手续费、资信证明手续费、函询手续费、工资代发手续费、短信通知费回单卡、结算卡等)全免得2分，否则不得分</w:t>
            </w:r>
            <w:r>
              <w:rPr>
                <w:rFonts w:hint="default" w:ascii="宋体" w:hAnsi="宋体" w:cs="宋体"/>
                <w:b/>
                <w:bCs/>
                <w:color w:val="auto"/>
                <w:kern w:val="0"/>
                <w:sz w:val="21"/>
                <w:szCs w:val="21"/>
                <w:highlight w:val="none"/>
              </w:rPr>
              <w:t>(提供承诺函，不提供不得分)</w:t>
            </w:r>
          </w:p>
        </w:tc>
      </w:tr>
      <w:tr w14:paraId="3118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083" w:type="dxa"/>
            <w:vMerge w:val="continue"/>
            <w:vAlign w:val="center"/>
          </w:tcPr>
          <w:p w14:paraId="51E94EAC">
            <w:pPr>
              <w:keepNext w:val="0"/>
              <w:keepLines w:val="0"/>
              <w:suppressLineNumbers w:val="0"/>
              <w:autoSpaceDE w:val="0"/>
              <w:autoSpaceDN w:val="0"/>
              <w:spacing w:before="0" w:beforeAutospacing="0" w:after="0" w:afterAutospacing="0" w:line="240" w:lineRule="auto"/>
              <w:ind w:left="0" w:leftChars="0" w:right="0" w:rightChars="0"/>
              <w:jc w:val="center"/>
              <w:rPr>
                <w:rFonts w:hint="default" w:ascii="宋体" w:hAnsi="宋体" w:cs="宋体"/>
                <w:b/>
                <w:bCs/>
                <w:color w:val="auto"/>
                <w:sz w:val="21"/>
                <w:szCs w:val="21"/>
                <w:highlight w:val="none"/>
              </w:rPr>
            </w:pPr>
          </w:p>
        </w:tc>
        <w:tc>
          <w:tcPr>
            <w:tcW w:w="1322" w:type="dxa"/>
            <w:vMerge w:val="continue"/>
            <w:vAlign w:val="center"/>
          </w:tcPr>
          <w:p w14:paraId="0A8174A4">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default" w:ascii="宋体" w:hAnsi="宋体" w:cs="宋体"/>
                <w:color w:val="auto"/>
                <w:sz w:val="21"/>
                <w:szCs w:val="21"/>
                <w:highlight w:val="none"/>
              </w:rPr>
            </w:pPr>
          </w:p>
        </w:tc>
        <w:tc>
          <w:tcPr>
            <w:tcW w:w="663" w:type="dxa"/>
            <w:vAlign w:val="center"/>
          </w:tcPr>
          <w:p w14:paraId="29061114">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7034" w:type="dxa"/>
            <w:vAlign w:val="center"/>
          </w:tcPr>
          <w:p w14:paraId="3AC0CB11">
            <w:pPr>
              <w:keepNext w:val="0"/>
              <w:keepLines w:val="0"/>
              <w:widowControl w:val="0"/>
              <w:suppressLineNumbers w:val="0"/>
              <w:autoSpaceDE w:val="0"/>
              <w:autoSpaceDN w:val="0"/>
              <w:adjustRightInd w:val="0"/>
              <w:spacing w:before="0" w:beforeAutospacing="0" w:after="0" w:afterAutospacing="0" w:line="240" w:lineRule="auto"/>
              <w:ind w:left="0" w:leftChars="0" w:right="0" w:rightChars="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投标银行支持学校教育事业发展方案承诺</w:t>
            </w:r>
            <w:r>
              <w:rPr>
                <w:rFonts w:hint="default" w:ascii="宋体" w:hAnsi="宋体" w:cs="宋体"/>
                <w:color w:val="auto"/>
                <w:kern w:val="0"/>
                <w:sz w:val="21"/>
                <w:szCs w:val="21"/>
                <w:highlight w:val="none"/>
                <w:lang w:eastAsia="zh-CN"/>
              </w:rPr>
              <w:t>，</w:t>
            </w:r>
            <w:r>
              <w:rPr>
                <w:rFonts w:hint="default" w:ascii="宋体" w:hAnsi="宋体" w:cs="宋体"/>
                <w:color w:val="auto"/>
                <w:kern w:val="0"/>
                <w:sz w:val="21"/>
                <w:szCs w:val="21"/>
                <w:highlight w:val="none"/>
              </w:rPr>
              <w:t>包括但不限于：未来对学校教学科研事业支持</w:t>
            </w:r>
            <w:r>
              <w:rPr>
                <w:rFonts w:hint="default" w:ascii="宋体" w:hAnsi="宋体" w:cs="宋体"/>
                <w:color w:val="auto"/>
                <w:kern w:val="0"/>
                <w:sz w:val="21"/>
                <w:szCs w:val="21"/>
                <w:highlight w:val="none"/>
                <w:lang w:val="en-US" w:eastAsia="zh-CN"/>
              </w:rPr>
              <w:t>包括不限于资金投入、设备投入</w:t>
            </w:r>
            <w:r>
              <w:rPr>
                <w:rFonts w:hint="default" w:ascii="宋体" w:hAnsi="宋体" w:cs="宋体"/>
                <w:color w:val="auto"/>
                <w:kern w:val="0"/>
                <w:sz w:val="21"/>
                <w:szCs w:val="21"/>
                <w:highlight w:val="none"/>
              </w:rPr>
              <w:t>承诺等，方案是否具有针对性，是否具有可行性等，优的得</w:t>
            </w:r>
            <w:r>
              <w:rPr>
                <w:rFonts w:hint="default" w:ascii="宋体" w:hAnsi="宋体" w:cs="宋体"/>
                <w:color w:val="auto"/>
                <w:kern w:val="0"/>
                <w:sz w:val="21"/>
                <w:szCs w:val="21"/>
                <w:highlight w:val="none"/>
                <w:lang w:val="en-US" w:eastAsia="zh-CN"/>
              </w:rPr>
              <w:t>5</w:t>
            </w:r>
            <w:r>
              <w:rPr>
                <w:rFonts w:hint="default" w:ascii="宋体" w:hAnsi="宋体" w:cs="宋体"/>
                <w:color w:val="auto"/>
                <w:kern w:val="0"/>
                <w:sz w:val="21"/>
                <w:szCs w:val="21"/>
                <w:highlight w:val="none"/>
              </w:rPr>
              <w:t>-</w:t>
            </w:r>
            <w:r>
              <w:rPr>
                <w:rFonts w:hint="default" w:ascii="宋体" w:hAnsi="宋体" w:cs="宋体"/>
                <w:color w:val="auto"/>
                <w:kern w:val="0"/>
                <w:sz w:val="21"/>
                <w:szCs w:val="21"/>
                <w:highlight w:val="none"/>
                <w:lang w:val="en-US" w:eastAsia="zh-CN"/>
              </w:rPr>
              <w:t>4</w:t>
            </w:r>
            <w:r>
              <w:rPr>
                <w:rFonts w:hint="default" w:ascii="宋体" w:hAnsi="宋体" w:cs="宋体"/>
                <w:color w:val="auto"/>
                <w:kern w:val="0"/>
                <w:sz w:val="21"/>
                <w:szCs w:val="21"/>
                <w:highlight w:val="none"/>
              </w:rPr>
              <w:t>分，良的得</w:t>
            </w:r>
            <w:r>
              <w:rPr>
                <w:rFonts w:hint="default" w:ascii="宋体" w:hAnsi="宋体" w:cs="宋体"/>
                <w:color w:val="auto"/>
                <w:kern w:val="0"/>
                <w:sz w:val="21"/>
                <w:szCs w:val="21"/>
                <w:highlight w:val="none"/>
                <w:lang w:val="en-US" w:eastAsia="zh-CN"/>
              </w:rPr>
              <w:t>3</w:t>
            </w:r>
            <w:r>
              <w:rPr>
                <w:rFonts w:hint="default" w:ascii="宋体" w:hAnsi="宋体" w:cs="宋体"/>
                <w:color w:val="auto"/>
                <w:kern w:val="0"/>
                <w:sz w:val="21"/>
                <w:szCs w:val="21"/>
                <w:highlight w:val="none"/>
              </w:rPr>
              <w:t>-</w:t>
            </w:r>
            <w:r>
              <w:rPr>
                <w:rFonts w:hint="default" w:ascii="宋体" w:hAnsi="宋体" w:cs="宋体"/>
                <w:color w:val="auto"/>
                <w:kern w:val="0"/>
                <w:sz w:val="21"/>
                <w:szCs w:val="21"/>
                <w:highlight w:val="none"/>
                <w:lang w:val="en-US" w:eastAsia="zh-CN"/>
              </w:rPr>
              <w:t>2</w:t>
            </w:r>
            <w:r>
              <w:rPr>
                <w:rFonts w:hint="default" w:ascii="宋体" w:hAnsi="宋体" w:cs="宋体"/>
                <w:color w:val="auto"/>
                <w:kern w:val="0"/>
                <w:sz w:val="21"/>
                <w:szCs w:val="21"/>
                <w:highlight w:val="none"/>
              </w:rPr>
              <w:t>分，一般的得</w:t>
            </w:r>
            <w:r>
              <w:rPr>
                <w:rFonts w:hint="default" w:ascii="宋体" w:hAnsi="宋体" w:cs="宋体"/>
                <w:color w:val="auto"/>
                <w:kern w:val="0"/>
                <w:sz w:val="21"/>
                <w:szCs w:val="21"/>
                <w:highlight w:val="none"/>
                <w:lang w:val="en-US" w:eastAsia="zh-CN"/>
              </w:rPr>
              <w:t>1</w:t>
            </w:r>
            <w:r>
              <w:rPr>
                <w:rFonts w:hint="default" w:ascii="宋体" w:hAnsi="宋体" w:cs="宋体"/>
                <w:color w:val="auto"/>
                <w:kern w:val="0"/>
                <w:sz w:val="21"/>
                <w:szCs w:val="21"/>
                <w:highlight w:val="none"/>
              </w:rPr>
              <w:t>-</w:t>
            </w:r>
            <w:r>
              <w:rPr>
                <w:rFonts w:hint="default" w:ascii="宋体" w:hAnsi="宋体" w:cs="宋体"/>
                <w:color w:val="auto"/>
                <w:kern w:val="0"/>
                <w:sz w:val="21"/>
                <w:szCs w:val="21"/>
                <w:highlight w:val="none"/>
                <w:lang w:val="en-US" w:eastAsia="zh-CN"/>
              </w:rPr>
              <w:t>0.5</w:t>
            </w:r>
            <w:r>
              <w:rPr>
                <w:rFonts w:hint="default" w:ascii="宋体" w:hAnsi="宋体" w:cs="宋体"/>
                <w:color w:val="auto"/>
                <w:kern w:val="0"/>
                <w:sz w:val="21"/>
                <w:szCs w:val="21"/>
                <w:highlight w:val="none"/>
              </w:rPr>
              <w:t>分，</w:t>
            </w:r>
            <w:r>
              <w:rPr>
                <w:rFonts w:hint="default" w:ascii="宋体" w:hAnsi="宋体" w:cs="宋体"/>
                <w:color w:val="auto"/>
                <w:kern w:val="0"/>
                <w:sz w:val="21"/>
                <w:szCs w:val="21"/>
                <w:highlight w:val="none"/>
                <w:lang w:val="en-US" w:eastAsia="zh-CN"/>
              </w:rPr>
              <w:t>未提供方案</w:t>
            </w:r>
            <w:r>
              <w:rPr>
                <w:rFonts w:hint="default" w:ascii="宋体" w:hAnsi="宋体" w:cs="宋体"/>
                <w:color w:val="auto"/>
                <w:kern w:val="0"/>
                <w:sz w:val="21"/>
                <w:szCs w:val="21"/>
                <w:highlight w:val="none"/>
              </w:rPr>
              <w:t>得0分</w:t>
            </w:r>
            <w:r>
              <w:rPr>
                <w:rFonts w:hint="default" w:ascii="宋体" w:hAnsi="宋体" w:cs="宋体"/>
                <w:b/>
                <w:bCs/>
                <w:color w:val="auto"/>
                <w:kern w:val="0"/>
                <w:sz w:val="21"/>
                <w:szCs w:val="21"/>
                <w:highlight w:val="none"/>
              </w:rPr>
              <w:t>（</w:t>
            </w:r>
            <w:r>
              <w:rPr>
                <w:rFonts w:hint="default" w:ascii="宋体" w:hAnsi="宋体" w:cs="宋体"/>
                <w:b/>
                <w:bCs/>
                <w:color w:val="auto"/>
                <w:kern w:val="0"/>
                <w:sz w:val="21"/>
                <w:szCs w:val="21"/>
                <w:highlight w:val="none"/>
                <w:lang w:val="en-US" w:eastAsia="zh-CN"/>
              </w:rPr>
              <w:t>承诺内容须量化</w:t>
            </w:r>
            <w:r>
              <w:rPr>
                <w:rFonts w:hint="default" w:ascii="宋体" w:hAnsi="宋体" w:cs="宋体"/>
                <w:b/>
                <w:bCs/>
                <w:color w:val="auto"/>
                <w:kern w:val="0"/>
                <w:sz w:val="21"/>
                <w:szCs w:val="21"/>
                <w:highlight w:val="none"/>
              </w:rPr>
              <w:t>）。</w:t>
            </w:r>
          </w:p>
        </w:tc>
      </w:tr>
      <w:tr w14:paraId="561A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083" w:type="dxa"/>
            <w:vMerge w:val="restart"/>
            <w:vAlign w:val="center"/>
          </w:tcPr>
          <w:p w14:paraId="638C3EFB">
            <w:pPr>
              <w:keepNext w:val="0"/>
              <w:keepLines w:val="0"/>
              <w:suppressLineNumbers w:val="0"/>
              <w:autoSpaceDE w:val="0"/>
              <w:autoSpaceDN w:val="0"/>
              <w:spacing w:before="0" w:beforeAutospacing="0" w:after="0" w:afterAutospacing="0" w:line="288" w:lineRule="auto"/>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经营状况指标</w:t>
            </w:r>
          </w:p>
          <w:p w14:paraId="43DEB388">
            <w:pPr>
              <w:keepNext w:val="0"/>
              <w:keepLines w:val="0"/>
              <w:suppressLineNumbers w:val="0"/>
              <w:autoSpaceDE w:val="0"/>
              <w:autoSpaceDN w:val="0"/>
              <w:spacing w:before="0" w:beforeAutospacing="0" w:after="0" w:afterAutospacing="0" w:line="288" w:lineRule="auto"/>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（30分）</w:t>
            </w:r>
          </w:p>
        </w:tc>
        <w:tc>
          <w:tcPr>
            <w:tcW w:w="1322" w:type="dxa"/>
            <w:vAlign w:val="center"/>
          </w:tcPr>
          <w:p w14:paraId="354E38FB">
            <w:pPr>
              <w:keepNext w:val="0"/>
              <w:keepLines w:val="0"/>
              <w:suppressLineNumbers w:val="0"/>
              <w:snapToGrid w:val="0"/>
              <w:spacing w:before="0" w:beforeAutospacing="0" w:after="0" w:afterAutospacing="0" w:line="288"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1.资产质量</w:t>
            </w:r>
          </w:p>
        </w:tc>
        <w:tc>
          <w:tcPr>
            <w:tcW w:w="663" w:type="dxa"/>
            <w:vAlign w:val="center"/>
          </w:tcPr>
          <w:p w14:paraId="626091D2">
            <w:pPr>
              <w:keepNext w:val="0"/>
              <w:keepLines w:val="0"/>
              <w:suppressLineNumbers w:val="0"/>
              <w:snapToGrid w:val="0"/>
              <w:spacing w:before="0" w:beforeAutospacing="0" w:after="0" w:afterAutospacing="0" w:line="288"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6</w:t>
            </w:r>
          </w:p>
        </w:tc>
        <w:tc>
          <w:tcPr>
            <w:tcW w:w="7034" w:type="dxa"/>
            <w:vAlign w:val="center"/>
          </w:tcPr>
          <w:p w14:paraId="68E6A27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default" w:ascii="宋体" w:hAnsi="宋体" w:cs="宋体"/>
                <w:color w:val="auto"/>
                <w:sz w:val="21"/>
                <w:szCs w:val="21"/>
                <w:highlight w:val="none"/>
              </w:rPr>
              <w:t>根据投标银行不良贷款率排名评分。排名第一得6分，其余投标银行排名每降低一名相应递减0.05分，减完为止。</w:t>
            </w:r>
          </w:p>
        </w:tc>
      </w:tr>
      <w:tr w14:paraId="345A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083" w:type="dxa"/>
            <w:vMerge w:val="continue"/>
            <w:vAlign w:val="center"/>
          </w:tcPr>
          <w:p w14:paraId="6D563AE4">
            <w:pPr>
              <w:keepNext w:val="0"/>
              <w:keepLines w:val="0"/>
              <w:suppressLineNumbers w:val="0"/>
              <w:autoSpaceDE w:val="0"/>
              <w:autoSpaceDN w:val="0"/>
              <w:spacing w:before="0" w:beforeAutospacing="0" w:after="0" w:afterAutospacing="0" w:line="288" w:lineRule="auto"/>
              <w:ind w:left="0" w:right="0"/>
              <w:jc w:val="center"/>
              <w:rPr>
                <w:rFonts w:hint="default" w:ascii="宋体" w:hAnsi="宋体" w:cs="宋体"/>
                <w:color w:val="auto"/>
                <w:sz w:val="21"/>
                <w:szCs w:val="21"/>
                <w:highlight w:val="none"/>
              </w:rPr>
            </w:pPr>
          </w:p>
        </w:tc>
        <w:tc>
          <w:tcPr>
            <w:tcW w:w="1322" w:type="dxa"/>
            <w:vMerge w:val="restart"/>
            <w:vAlign w:val="center"/>
          </w:tcPr>
          <w:p w14:paraId="24DF99C1">
            <w:pPr>
              <w:keepNext w:val="0"/>
              <w:keepLines w:val="0"/>
              <w:suppressLineNumbers w:val="0"/>
              <w:snapToGrid w:val="0"/>
              <w:spacing w:before="0" w:beforeAutospacing="0" w:after="0" w:afterAutospacing="0" w:line="288"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2.运营状况</w:t>
            </w:r>
          </w:p>
        </w:tc>
        <w:tc>
          <w:tcPr>
            <w:tcW w:w="663" w:type="dxa"/>
            <w:vAlign w:val="center"/>
          </w:tcPr>
          <w:p w14:paraId="7EDD0A97">
            <w:pPr>
              <w:keepNext w:val="0"/>
              <w:keepLines w:val="0"/>
              <w:suppressLineNumbers w:val="0"/>
              <w:snapToGrid w:val="0"/>
              <w:spacing w:before="0" w:beforeAutospacing="0" w:after="0" w:afterAutospacing="0" w:line="288"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6</w:t>
            </w:r>
          </w:p>
        </w:tc>
        <w:tc>
          <w:tcPr>
            <w:tcW w:w="7034" w:type="dxa"/>
            <w:vAlign w:val="center"/>
          </w:tcPr>
          <w:p w14:paraId="329CF8C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default" w:ascii="宋体" w:hAnsi="宋体" w:cs="宋体"/>
                <w:color w:val="auto"/>
                <w:sz w:val="21"/>
                <w:szCs w:val="21"/>
                <w:highlight w:val="none"/>
              </w:rPr>
              <w:t>根据投标银行利润总额排名评分。排名第一得6分，其余投标银行排名每降低一名相应递减0.05分，减完为止。</w:t>
            </w:r>
          </w:p>
        </w:tc>
      </w:tr>
      <w:tr w14:paraId="1EB9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83" w:type="dxa"/>
            <w:vMerge w:val="continue"/>
          </w:tcPr>
          <w:p w14:paraId="03D9B9B4">
            <w:pPr>
              <w:keepNext w:val="0"/>
              <w:keepLines w:val="0"/>
              <w:suppressLineNumbers w:val="0"/>
              <w:autoSpaceDE w:val="0"/>
              <w:autoSpaceDN w:val="0"/>
              <w:spacing w:before="0" w:beforeAutospacing="0" w:after="0" w:afterAutospacing="0" w:line="288" w:lineRule="auto"/>
              <w:ind w:left="0" w:right="0"/>
              <w:jc w:val="center"/>
              <w:rPr>
                <w:rFonts w:hint="default" w:ascii="宋体" w:hAnsi="宋体" w:cs="宋体"/>
                <w:b/>
                <w:bCs/>
                <w:color w:val="auto"/>
                <w:sz w:val="21"/>
                <w:szCs w:val="21"/>
                <w:highlight w:val="none"/>
              </w:rPr>
            </w:pPr>
          </w:p>
        </w:tc>
        <w:tc>
          <w:tcPr>
            <w:tcW w:w="1322" w:type="dxa"/>
            <w:vMerge w:val="continue"/>
            <w:vAlign w:val="center"/>
          </w:tcPr>
          <w:p w14:paraId="6DB65CF9">
            <w:pPr>
              <w:keepNext w:val="0"/>
              <w:keepLines w:val="0"/>
              <w:suppressLineNumbers w:val="0"/>
              <w:snapToGrid w:val="0"/>
              <w:spacing w:before="0" w:beforeAutospacing="0" w:after="0" w:afterAutospacing="0" w:line="288" w:lineRule="auto"/>
              <w:ind w:left="0" w:right="0"/>
              <w:jc w:val="center"/>
              <w:rPr>
                <w:rFonts w:hint="default" w:ascii="宋体" w:hAnsi="宋体" w:cs="宋体"/>
                <w:color w:val="auto"/>
                <w:sz w:val="21"/>
                <w:szCs w:val="21"/>
                <w:highlight w:val="none"/>
              </w:rPr>
            </w:pPr>
          </w:p>
        </w:tc>
        <w:tc>
          <w:tcPr>
            <w:tcW w:w="663" w:type="dxa"/>
            <w:vAlign w:val="center"/>
          </w:tcPr>
          <w:p w14:paraId="70D523F8">
            <w:pPr>
              <w:keepNext w:val="0"/>
              <w:keepLines w:val="0"/>
              <w:suppressLineNumbers w:val="0"/>
              <w:snapToGrid w:val="0"/>
              <w:spacing w:before="0" w:beforeAutospacing="0" w:after="0" w:afterAutospacing="0" w:line="288"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6</w:t>
            </w:r>
          </w:p>
        </w:tc>
        <w:tc>
          <w:tcPr>
            <w:tcW w:w="7034" w:type="dxa"/>
            <w:vAlign w:val="center"/>
          </w:tcPr>
          <w:p w14:paraId="7299C666">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根据投标银行利润增长率排名评分。排名第一得6分，其余投标银行排名每降低一名相应递减0.05分，减完为止。</w:t>
            </w:r>
          </w:p>
        </w:tc>
      </w:tr>
      <w:tr w14:paraId="72F3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083" w:type="dxa"/>
            <w:vMerge w:val="continue"/>
          </w:tcPr>
          <w:p w14:paraId="44B0C117">
            <w:pPr>
              <w:keepNext w:val="0"/>
              <w:keepLines w:val="0"/>
              <w:suppressLineNumbers w:val="0"/>
              <w:autoSpaceDE w:val="0"/>
              <w:autoSpaceDN w:val="0"/>
              <w:spacing w:before="0" w:beforeAutospacing="0" w:after="0" w:afterAutospacing="0" w:line="288" w:lineRule="auto"/>
              <w:ind w:left="0" w:right="0"/>
              <w:jc w:val="center"/>
              <w:rPr>
                <w:rFonts w:hint="default" w:ascii="宋体" w:hAnsi="宋体" w:cs="宋体"/>
                <w:b/>
                <w:bCs/>
                <w:color w:val="auto"/>
                <w:sz w:val="21"/>
                <w:szCs w:val="21"/>
                <w:highlight w:val="none"/>
              </w:rPr>
            </w:pPr>
          </w:p>
        </w:tc>
        <w:tc>
          <w:tcPr>
            <w:tcW w:w="1322" w:type="dxa"/>
            <w:vAlign w:val="center"/>
          </w:tcPr>
          <w:p w14:paraId="5CFD9A07">
            <w:pPr>
              <w:keepNext w:val="0"/>
              <w:keepLines w:val="0"/>
              <w:suppressLineNumbers w:val="0"/>
              <w:snapToGrid w:val="0"/>
              <w:spacing w:before="0" w:beforeAutospacing="0" w:after="0" w:afterAutospacing="0" w:line="288"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3.偿付能力</w:t>
            </w:r>
          </w:p>
        </w:tc>
        <w:tc>
          <w:tcPr>
            <w:tcW w:w="663" w:type="dxa"/>
            <w:vAlign w:val="center"/>
          </w:tcPr>
          <w:p w14:paraId="1225F29C">
            <w:pPr>
              <w:keepNext w:val="0"/>
              <w:keepLines w:val="0"/>
              <w:suppressLineNumbers w:val="0"/>
              <w:snapToGrid w:val="0"/>
              <w:spacing w:before="0" w:beforeAutospacing="0" w:after="0" w:afterAutospacing="0" w:line="288"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6</w:t>
            </w:r>
          </w:p>
        </w:tc>
        <w:tc>
          <w:tcPr>
            <w:tcW w:w="7034" w:type="dxa"/>
            <w:vAlign w:val="center"/>
          </w:tcPr>
          <w:p w14:paraId="13C6C82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rPr>
              <w:t>根据投标银行拨备覆盖率排名评分。排名第一得6分，其余投标银行排名每降低一名相应递减0.05分，减完为止。</w:t>
            </w:r>
          </w:p>
        </w:tc>
      </w:tr>
      <w:tr w14:paraId="59C5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83" w:type="dxa"/>
            <w:vMerge w:val="continue"/>
          </w:tcPr>
          <w:p w14:paraId="29C9B0F2">
            <w:pPr>
              <w:keepNext w:val="0"/>
              <w:keepLines w:val="0"/>
              <w:suppressLineNumbers w:val="0"/>
              <w:autoSpaceDE w:val="0"/>
              <w:autoSpaceDN w:val="0"/>
              <w:spacing w:before="0" w:beforeAutospacing="0" w:after="0" w:afterAutospacing="0" w:line="288" w:lineRule="auto"/>
              <w:ind w:left="0" w:right="0"/>
              <w:jc w:val="center"/>
              <w:rPr>
                <w:rFonts w:hint="default" w:ascii="宋体" w:hAnsi="宋体" w:cs="宋体"/>
                <w:b/>
                <w:bCs/>
                <w:color w:val="auto"/>
                <w:sz w:val="21"/>
                <w:szCs w:val="21"/>
                <w:highlight w:val="none"/>
              </w:rPr>
            </w:pPr>
          </w:p>
        </w:tc>
        <w:tc>
          <w:tcPr>
            <w:tcW w:w="1322" w:type="dxa"/>
            <w:vAlign w:val="center"/>
          </w:tcPr>
          <w:p w14:paraId="6656C45E">
            <w:pPr>
              <w:keepNext w:val="0"/>
              <w:keepLines w:val="0"/>
              <w:suppressLineNumbers w:val="0"/>
              <w:snapToGrid w:val="0"/>
              <w:spacing w:before="0" w:beforeAutospacing="0" w:after="0" w:afterAutospacing="0" w:line="288"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4.内控水平</w:t>
            </w:r>
          </w:p>
        </w:tc>
        <w:tc>
          <w:tcPr>
            <w:tcW w:w="663" w:type="dxa"/>
            <w:vAlign w:val="center"/>
          </w:tcPr>
          <w:p w14:paraId="716E37B5">
            <w:pPr>
              <w:keepNext w:val="0"/>
              <w:keepLines w:val="0"/>
              <w:suppressLineNumbers w:val="0"/>
              <w:snapToGrid w:val="0"/>
              <w:spacing w:before="0" w:beforeAutospacing="0" w:after="0" w:afterAutospacing="0" w:line="288"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6</w:t>
            </w:r>
          </w:p>
        </w:tc>
        <w:tc>
          <w:tcPr>
            <w:tcW w:w="7034" w:type="dxa"/>
            <w:vAlign w:val="center"/>
          </w:tcPr>
          <w:p w14:paraId="4ACD561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rPr>
              <w:t>根据投标银行金融机构评级排名评分。排名第一得6分，排名第二得5.95分，排名第三得5.9分，排名第四得5.85分，排名第五得5.8分，排名第六得5.75分，排名第七得5.7分。</w:t>
            </w:r>
          </w:p>
        </w:tc>
      </w:tr>
      <w:tr w14:paraId="7471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3" w:type="dxa"/>
            <w:vMerge w:val="restart"/>
            <w:vAlign w:val="center"/>
          </w:tcPr>
          <w:p w14:paraId="4D9AD024">
            <w:pPr>
              <w:keepNext w:val="0"/>
              <w:keepLines w:val="0"/>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color w:val="auto"/>
                <w:sz w:val="21"/>
                <w:szCs w:val="21"/>
                <w:highlight w:val="none"/>
              </w:rPr>
              <w:t>经济贡献度指标（30分）</w:t>
            </w:r>
          </w:p>
        </w:tc>
        <w:tc>
          <w:tcPr>
            <w:tcW w:w="1322" w:type="dxa"/>
            <w:vMerge w:val="restart"/>
            <w:vAlign w:val="center"/>
          </w:tcPr>
          <w:p w14:paraId="66D1E9D6">
            <w:pPr>
              <w:keepNext w:val="0"/>
              <w:keepLines w:val="0"/>
              <w:suppressLineNumbers w:val="0"/>
              <w:spacing w:before="0" w:beforeAutospacing="0" w:after="0" w:afterAutospacing="0"/>
              <w:ind w:left="0" w:right="0"/>
              <w:jc w:val="center"/>
              <w:textAlignment w:val="center"/>
              <w:rPr>
                <w:rFonts w:hint="default" w:ascii="宋体" w:hAnsi="宋体" w:cs="宋体"/>
                <w:color w:val="auto"/>
                <w:kern w:val="0"/>
                <w:sz w:val="21"/>
                <w:szCs w:val="21"/>
                <w:highlight w:val="none"/>
              </w:rPr>
            </w:pPr>
            <w:r>
              <w:rPr>
                <w:rFonts w:hint="eastAsia" w:ascii="宋体" w:hAnsi="宋体" w:eastAsia="宋体" w:cs="宋体"/>
                <w:sz w:val="21"/>
                <w:szCs w:val="21"/>
                <w:highlight w:val="none"/>
                <w:lang w:val="en-US" w:eastAsia="zh-CN"/>
              </w:rPr>
              <w:t>1.</w:t>
            </w:r>
            <w:r>
              <w:rPr>
                <w:rFonts w:hint="default" w:ascii="宋体" w:hAnsi="宋体" w:eastAsia="宋体" w:cs="宋体"/>
                <w:sz w:val="21"/>
                <w:szCs w:val="21"/>
                <w:highlight w:val="none"/>
              </w:rPr>
              <w:t>支持经济社会发展情况</w:t>
            </w:r>
          </w:p>
        </w:tc>
        <w:tc>
          <w:tcPr>
            <w:tcW w:w="663" w:type="dxa"/>
            <w:vAlign w:val="center"/>
          </w:tcPr>
          <w:p w14:paraId="552A5A84">
            <w:pPr>
              <w:keepNext w:val="0"/>
              <w:keepLines w:val="0"/>
              <w:suppressLineNumbers w:val="0"/>
              <w:spacing w:before="0" w:beforeAutospacing="0" w:after="0" w:afterAutospacing="0"/>
              <w:ind w:left="0" w:right="0"/>
              <w:jc w:val="center"/>
              <w:textAlignment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c>
          <w:tcPr>
            <w:tcW w:w="7034" w:type="dxa"/>
            <w:vAlign w:val="center"/>
          </w:tcPr>
          <w:p w14:paraId="5ACC2E89">
            <w:pPr>
              <w:keepNext w:val="0"/>
              <w:keepLines w:val="0"/>
              <w:suppressLineNumbers w:val="0"/>
              <w:spacing w:before="0" w:beforeAutospacing="0" w:after="0" w:afterAutospacing="0"/>
              <w:ind w:left="0" w:right="0"/>
              <w:textAlignment w:val="center"/>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根据</w:t>
            </w:r>
            <w:r>
              <w:rPr>
                <w:rFonts w:hint="eastAsia" w:ascii="宋体" w:hAnsi="宋体" w:cs="宋体"/>
                <w:color w:val="auto"/>
                <w:kern w:val="0"/>
                <w:sz w:val="21"/>
                <w:szCs w:val="21"/>
                <w:highlight w:val="none"/>
              </w:rPr>
              <w:t>无还本续贷余额排名</w:t>
            </w:r>
            <w:r>
              <w:rPr>
                <w:rFonts w:hint="eastAsia" w:ascii="宋体" w:hAnsi="宋体" w:cs="宋体"/>
                <w:color w:val="auto"/>
                <w:kern w:val="0"/>
                <w:sz w:val="21"/>
                <w:szCs w:val="21"/>
                <w:highlight w:val="none"/>
                <w:lang w:val="en-US" w:eastAsia="zh-CN"/>
              </w:rPr>
              <w:t>进行评分，</w:t>
            </w:r>
            <w:r>
              <w:rPr>
                <w:rFonts w:hint="eastAsia" w:ascii="宋体" w:hAnsi="宋体" w:cs="宋体"/>
                <w:color w:val="auto"/>
                <w:kern w:val="0"/>
                <w:sz w:val="21"/>
                <w:szCs w:val="21"/>
                <w:highlight w:val="none"/>
              </w:rPr>
              <w:t>排名第1的投标银行得</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分，排名每低1名降0.02分，以此类推，减完为止。</w:t>
            </w:r>
          </w:p>
        </w:tc>
      </w:tr>
      <w:tr w14:paraId="7E34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3" w:type="dxa"/>
            <w:vMerge w:val="continue"/>
            <w:vAlign w:val="center"/>
          </w:tcPr>
          <w:p w14:paraId="12D97AAB">
            <w:pPr>
              <w:keepNext w:val="0"/>
              <w:keepLines w:val="0"/>
              <w:suppressLineNumbers w:val="0"/>
              <w:spacing w:before="0" w:beforeAutospacing="0" w:after="0" w:afterAutospacing="0"/>
              <w:ind w:left="0" w:right="0"/>
              <w:jc w:val="center"/>
              <w:rPr>
                <w:rFonts w:hint="eastAsia" w:ascii="宋体" w:hAnsi="宋体" w:cs="宋体"/>
                <w:b/>
                <w:color w:val="auto"/>
                <w:sz w:val="21"/>
                <w:szCs w:val="21"/>
                <w:highlight w:val="none"/>
              </w:rPr>
            </w:pPr>
          </w:p>
        </w:tc>
        <w:tc>
          <w:tcPr>
            <w:tcW w:w="1322" w:type="dxa"/>
            <w:vMerge w:val="continue"/>
            <w:vAlign w:val="center"/>
          </w:tcPr>
          <w:p w14:paraId="262599E2">
            <w:pPr>
              <w:keepNext w:val="0"/>
              <w:keepLines w:val="0"/>
              <w:suppressLineNumbers w:val="0"/>
              <w:spacing w:before="0" w:beforeAutospacing="0" w:after="0" w:afterAutospacing="0"/>
              <w:ind w:left="0" w:right="0"/>
              <w:jc w:val="center"/>
              <w:textAlignment w:val="center"/>
              <w:rPr>
                <w:rFonts w:hint="eastAsia" w:ascii="宋体" w:hAnsi="宋体" w:cs="宋体"/>
                <w:color w:val="auto"/>
                <w:kern w:val="0"/>
                <w:sz w:val="21"/>
                <w:szCs w:val="21"/>
                <w:highlight w:val="none"/>
              </w:rPr>
            </w:pPr>
          </w:p>
        </w:tc>
        <w:tc>
          <w:tcPr>
            <w:tcW w:w="663" w:type="dxa"/>
            <w:vAlign w:val="center"/>
          </w:tcPr>
          <w:p w14:paraId="01ECF0EC">
            <w:pPr>
              <w:keepNext w:val="0"/>
              <w:keepLines w:val="0"/>
              <w:suppressLineNumbers w:val="0"/>
              <w:spacing w:before="0" w:beforeAutospacing="0" w:after="0" w:afterAutospacing="0"/>
              <w:ind w:left="0" w:right="0"/>
              <w:jc w:val="center"/>
              <w:textAlignment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c>
          <w:tcPr>
            <w:tcW w:w="7034" w:type="dxa"/>
            <w:vAlign w:val="center"/>
          </w:tcPr>
          <w:p w14:paraId="7E909CA2">
            <w:pPr>
              <w:keepNext w:val="0"/>
              <w:keepLines w:val="0"/>
              <w:suppressLineNumbers w:val="0"/>
              <w:spacing w:before="0" w:beforeAutospacing="0" w:after="0" w:afterAutospacing="0"/>
              <w:ind w:left="0" w:right="0"/>
              <w:textAlignment w:val="center"/>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根据</w:t>
            </w:r>
            <w:r>
              <w:rPr>
                <w:rFonts w:hint="eastAsia" w:ascii="宋体" w:hAnsi="宋体" w:cs="宋体"/>
                <w:color w:val="auto"/>
                <w:kern w:val="0"/>
                <w:sz w:val="21"/>
                <w:szCs w:val="21"/>
                <w:highlight w:val="none"/>
              </w:rPr>
              <w:t>无还本续贷余额占各项贷款余额比例增长情况排名</w:t>
            </w:r>
            <w:r>
              <w:rPr>
                <w:rFonts w:hint="eastAsia" w:ascii="宋体" w:hAnsi="宋体" w:cs="宋体"/>
                <w:color w:val="auto"/>
                <w:kern w:val="0"/>
                <w:sz w:val="21"/>
                <w:szCs w:val="21"/>
                <w:highlight w:val="none"/>
                <w:lang w:val="en-US" w:eastAsia="zh-CN"/>
              </w:rPr>
              <w:t>进行评分，</w:t>
            </w:r>
            <w:r>
              <w:rPr>
                <w:rFonts w:hint="eastAsia" w:ascii="宋体" w:hAnsi="宋体" w:cs="宋体"/>
                <w:color w:val="auto"/>
                <w:kern w:val="0"/>
                <w:sz w:val="21"/>
                <w:szCs w:val="21"/>
                <w:highlight w:val="none"/>
              </w:rPr>
              <w:t>排名第1的投标银行得</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分，排名每低1名降0.02分，以此类推，减完为止。</w:t>
            </w:r>
          </w:p>
        </w:tc>
      </w:tr>
      <w:tr w14:paraId="37DC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3" w:type="dxa"/>
            <w:vMerge w:val="continue"/>
          </w:tcPr>
          <w:p w14:paraId="413B438B">
            <w:pPr>
              <w:keepNext w:val="0"/>
              <w:keepLines w:val="0"/>
              <w:suppressLineNumbers w:val="0"/>
              <w:autoSpaceDE w:val="0"/>
              <w:autoSpaceDN w:val="0"/>
              <w:spacing w:before="0" w:beforeAutospacing="0" w:after="0" w:afterAutospacing="0" w:line="288" w:lineRule="auto"/>
              <w:ind w:left="0" w:right="0"/>
              <w:jc w:val="center"/>
              <w:rPr>
                <w:rFonts w:hint="default" w:ascii="宋体" w:hAnsi="宋体" w:cs="宋体"/>
                <w:b/>
                <w:bCs/>
                <w:color w:val="auto"/>
                <w:sz w:val="21"/>
                <w:szCs w:val="21"/>
                <w:highlight w:val="none"/>
              </w:rPr>
            </w:pPr>
          </w:p>
        </w:tc>
        <w:tc>
          <w:tcPr>
            <w:tcW w:w="1322" w:type="dxa"/>
            <w:vMerge w:val="restart"/>
            <w:vAlign w:val="center"/>
          </w:tcPr>
          <w:p w14:paraId="67B984F8">
            <w:pPr>
              <w:keepNext w:val="0"/>
              <w:keepLines w:val="0"/>
              <w:suppressLineNumbers w:val="0"/>
              <w:spacing w:before="0" w:beforeAutospacing="0" w:after="0" w:afterAutospacing="0"/>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2.支持制造业情况</w:t>
            </w:r>
          </w:p>
        </w:tc>
        <w:tc>
          <w:tcPr>
            <w:tcW w:w="663" w:type="dxa"/>
            <w:vAlign w:val="center"/>
          </w:tcPr>
          <w:p w14:paraId="713A6E4D">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7034" w:type="dxa"/>
            <w:vAlign w:val="center"/>
          </w:tcPr>
          <w:p w14:paraId="65DB77F6">
            <w:pPr>
              <w:keepNext w:val="0"/>
              <w:keepLines w:val="0"/>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根据投标银行制造业贷款余额排名进行评分。排名第一得</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分，其余投标银行排名每降低一名相应递减0.0</w:t>
            </w:r>
            <w:r>
              <w:rPr>
                <w:rFonts w:hint="default" w:ascii="宋体" w:hAnsi="宋体" w:cs="宋体"/>
                <w:color w:val="auto"/>
                <w:kern w:val="0"/>
                <w:sz w:val="21"/>
                <w:szCs w:val="21"/>
                <w:highlight w:val="none"/>
              </w:rPr>
              <w:t>2</w:t>
            </w:r>
            <w:r>
              <w:rPr>
                <w:rFonts w:hint="eastAsia" w:ascii="宋体" w:hAnsi="宋体" w:cs="宋体"/>
                <w:color w:val="auto"/>
                <w:kern w:val="0"/>
                <w:sz w:val="21"/>
                <w:szCs w:val="21"/>
                <w:highlight w:val="none"/>
              </w:rPr>
              <w:t>分，减完为止。</w:t>
            </w:r>
          </w:p>
        </w:tc>
      </w:tr>
      <w:bookmarkEnd w:id="2"/>
      <w:tr w14:paraId="0ABF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083" w:type="dxa"/>
            <w:vMerge w:val="continue"/>
          </w:tcPr>
          <w:p w14:paraId="7A0C85C1">
            <w:pPr>
              <w:keepNext w:val="0"/>
              <w:keepLines w:val="0"/>
              <w:suppressLineNumbers w:val="0"/>
              <w:autoSpaceDE w:val="0"/>
              <w:autoSpaceDN w:val="0"/>
              <w:spacing w:before="0" w:beforeAutospacing="0" w:after="0" w:afterAutospacing="0" w:line="288" w:lineRule="auto"/>
              <w:ind w:left="0" w:right="0"/>
              <w:jc w:val="center"/>
              <w:rPr>
                <w:rFonts w:hint="default" w:ascii="宋体" w:hAnsi="宋体" w:cs="宋体"/>
                <w:b/>
                <w:bCs/>
                <w:color w:val="auto"/>
                <w:sz w:val="21"/>
                <w:szCs w:val="21"/>
                <w:highlight w:val="none"/>
              </w:rPr>
            </w:pPr>
          </w:p>
        </w:tc>
        <w:tc>
          <w:tcPr>
            <w:tcW w:w="1322" w:type="dxa"/>
            <w:vMerge w:val="continue"/>
          </w:tcPr>
          <w:p w14:paraId="1C16AE01">
            <w:pPr>
              <w:keepNext w:val="0"/>
              <w:keepLines w:val="0"/>
              <w:suppressLineNumbers w:val="0"/>
              <w:snapToGrid w:val="0"/>
              <w:spacing w:before="0" w:beforeAutospacing="0" w:after="0" w:afterAutospacing="0" w:line="288" w:lineRule="auto"/>
              <w:ind w:left="0" w:right="0"/>
              <w:jc w:val="center"/>
              <w:rPr>
                <w:rFonts w:hint="default" w:ascii="宋体" w:hAnsi="宋体" w:cs="宋体"/>
                <w:color w:val="auto"/>
                <w:sz w:val="21"/>
                <w:szCs w:val="21"/>
                <w:highlight w:val="none"/>
              </w:rPr>
            </w:pPr>
          </w:p>
        </w:tc>
        <w:tc>
          <w:tcPr>
            <w:tcW w:w="663" w:type="dxa"/>
            <w:vAlign w:val="center"/>
          </w:tcPr>
          <w:p w14:paraId="2B1A1068">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7034" w:type="dxa"/>
            <w:vAlign w:val="center"/>
          </w:tcPr>
          <w:p w14:paraId="7E80DA93">
            <w:pPr>
              <w:keepNext w:val="0"/>
              <w:keepLines w:val="0"/>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根据投标银行制造业贷款余额占各项贷款余额比例增长情况排名进行评分。排名第一得</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分，其余投标银行排名每降低一名相应递减0.0</w:t>
            </w:r>
            <w:r>
              <w:rPr>
                <w:rFonts w:hint="default" w:ascii="宋体" w:hAnsi="宋体" w:cs="宋体"/>
                <w:color w:val="auto"/>
                <w:kern w:val="0"/>
                <w:sz w:val="21"/>
                <w:szCs w:val="21"/>
                <w:highlight w:val="none"/>
              </w:rPr>
              <w:t>2</w:t>
            </w:r>
            <w:r>
              <w:rPr>
                <w:rFonts w:hint="eastAsia" w:ascii="宋体" w:hAnsi="宋体" w:cs="宋体"/>
                <w:color w:val="auto"/>
                <w:kern w:val="0"/>
                <w:sz w:val="21"/>
                <w:szCs w:val="21"/>
                <w:highlight w:val="none"/>
              </w:rPr>
              <w:t>分，减完为止。</w:t>
            </w:r>
          </w:p>
        </w:tc>
      </w:tr>
      <w:tr w14:paraId="5744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1083" w:type="dxa"/>
            <w:vMerge w:val="continue"/>
          </w:tcPr>
          <w:p w14:paraId="68C15D79">
            <w:pPr>
              <w:keepNext w:val="0"/>
              <w:keepLines w:val="0"/>
              <w:suppressLineNumbers w:val="0"/>
              <w:autoSpaceDE w:val="0"/>
              <w:autoSpaceDN w:val="0"/>
              <w:spacing w:before="0" w:beforeAutospacing="0" w:after="0" w:afterAutospacing="0" w:line="288" w:lineRule="auto"/>
              <w:ind w:left="0" w:right="0"/>
              <w:jc w:val="center"/>
              <w:rPr>
                <w:rFonts w:hint="default" w:ascii="宋体" w:hAnsi="宋体" w:cs="宋体"/>
                <w:b/>
                <w:bCs/>
                <w:color w:val="auto"/>
                <w:sz w:val="21"/>
                <w:szCs w:val="21"/>
                <w:highlight w:val="none"/>
              </w:rPr>
            </w:pPr>
          </w:p>
        </w:tc>
        <w:tc>
          <w:tcPr>
            <w:tcW w:w="1322" w:type="dxa"/>
            <w:vMerge w:val="restart"/>
            <w:vAlign w:val="center"/>
          </w:tcPr>
          <w:p w14:paraId="221664C6">
            <w:pPr>
              <w:keepNext w:val="0"/>
              <w:keepLines w:val="0"/>
              <w:suppressLineNumbers w:val="0"/>
              <w:spacing w:before="0" w:beforeAutospacing="0" w:after="0" w:afterAutospacing="0"/>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3.助力“共同富裕”建设情况</w:t>
            </w:r>
          </w:p>
        </w:tc>
        <w:tc>
          <w:tcPr>
            <w:tcW w:w="663" w:type="dxa"/>
            <w:vAlign w:val="center"/>
          </w:tcPr>
          <w:p w14:paraId="7D47E605">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7034" w:type="dxa"/>
            <w:vAlign w:val="center"/>
          </w:tcPr>
          <w:p w14:paraId="78EC5A4A">
            <w:pPr>
              <w:keepNext w:val="0"/>
              <w:keepLines w:val="0"/>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根据投标银行普惠小微企业贷款余额排名进行评分。排名第一得</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分，其余投标银行排名每降低一名相应递减0.0</w:t>
            </w:r>
            <w:r>
              <w:rPr>
                <w:rFonts w:hint="default" w:ascii="宋体" w:hAnsi="宋体" w:cs="宋体"/>
                <w:color w:val="auto"/>
                <w:kern w:val="0"/>
                <w:sz w:val="21"/>
                <w:szCs w:val="21"/>
                <w:highlight w:val="none"/>
              </w:rPr>
              <w:t>2</w:t>
            </w:r>
            <w:r>
              <w:rPr>
                <w:rFonts w:hint="eastAsia" w:ascii="宋体" w:hAnsi="宋体" w:cs="宋体"/>
                <w:color w:val="auto"/>
                <w:kern w:val="0"/>
                <w:sz w:val="21"/>
                <w:szCs w:val="21"/>
                <w:highlight w:val="none"/>
              </w:rPr>
              <w:t>分，减完为止。</w:t>
            </w:r>
          </w:p>
        </w:tc>
      </w:tr>
      <w:tr w14:paraId="0F92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083" w:type="dxa"/>
            <w:vMerge w:val="continue"/>
          </w:tcPr>
          <w:p w14:paraId="1F62A734">
            <w:pPr>
              <w:keepNext w:val="0"/>
              <w:keepLines w:val="0"/>
              <w:suppressLineNumbers w:val="0"/>
              <w:autoSpaceDE w:val="0"/>
              <w:autoSpaceDN w:val="0"/>
              <w:spacing w:before="0" w:beforeAutospacing="0" w:after="0" w:afterAutospacing="0" w:line="288" w:lineRule="auto"/>
              <w:ind w:left="0" w:right="0"/>
              <w:jc w:val="center"/>
              <w:rPr>
                <w:rFonts w:hint="default" w:ascii="宋体" w:hAnsi="宋体" w:cs="宋体"/>
                <w:b/>
                <w:bCs/>
                <w:color w:val="auto"/>
                <w:sz w:val="21"/>
                <w:szCs w:val="21"/>
                <w:highlight w:val="none"/>
              </w:rPr>
            </w:pPr>
          </w:p>
        </w:tc>
        <w:tc>
          <w:tcPr>
            <w:tcW w:w="1322" w:type="dxa"/>
            <w:vMerge w:val="continue"/>
          </w:tcPr>
          <w:p w14:paraId="027EBD12">
            <w:pPr>
              <w:keepNext w:val="0"/>
              <w:keepLines w:val="0"/>
              <w:suppressLineNumbers w:val="0"/>
              <w:spacing w:before="0" w:beforeAutospacing="0" w:after="0" w:afterAutospacing="0"/>
              <w:ind w:left="0" w:right="0"/>
              <w:jc w:val="center"/>
              <w:textAlignment w:val="center"/>
              <w:rPr>
                <w:rFonts w:hint="default" w:ascii="宋体" w:hAnsi="宋体" w:cs="宋体"/>
                <w:color w:val="auto"/>
                <w:sz w:val="21"/>
                <w:szCs w:val="21"/>
                <w:highlight w:val="none"/>
              </w:rPr>
            </w:pPr>
          </w:p>
        </w:tc>
        <w:tc>
          <w:tcPr>
            <w:tcW w:w="663" w:type="dxa"/>
            <w:vAlign w:val="center"/>
          </w:tcPr>
          <w:p w14:paraId="290A28E9">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7034" w:type="dxa"/>
            <w:vAlign w:val="center"/>
          </w:tcPr>
          <w:p w14:paraId="2D9F42D3">
            <w:pPr>
              <w:keepNext w:val="0"/>
              <w:keepLines w:val="0"/>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根据投标银行普惠小微企业贷款余额占各项贷款余额比例增长情况排名进行评分。排名第一得</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分，其余投标银行排名每降低一名相应递减0.0</w:t>
            </w:r>
            <w:r>
              <w:rPr>
                <w:rFonts w:hint="default" w:ascii="宋体" w:hAnsi="宋体" w:cs="宋体"/>
                <w:color w:val="auto"/>
                <w:kern w:val="0"/>
                <w:sz w:val="21"/>
                <w:szCs w:val="21"/>
                <w:highlight w:val="none"/>
              </w:rPr>
              <w:t>2</w:t>
            </w:r>
            <w:r>
              <w:rPr>
                <w:rFonts w:hint="eastAsia" w:ascii="宋体" w:hAnsi="宋体" w:cs="宋体"/>
                <w:color w:val="auto"/>
                <w:kern w:val="0"/>
                <w:sz w:val="21"/>
                <w:szCs w:val="21"/>
                <w:highlight w:val="none"/>
              </w:rPr>
              <w:t>分，减完为止。</w:t>
            </w:r>
          </w:p>
        </w:tc>
      </w:tr>
      <w:tr w14:paraId="6E4B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083" w:type="dxa"/>
            <w:vMerge w:val="continue"/>
          </w:tcPr>
          <w:p w14:paraId="063773E8">
            <w:pPr>
              <w:keepNext w:val="0"/>
              <w:keepLines w:val="0"/>
              <w:suppressLineNumbers w:val="0"/>
              <w:autoSpaceDE w:val="0"/>
              <w:autoSpaceDN w:val="0"/>
              <w:spacing w:before="0" w:beforeAutospacing="0" w:after="0" w:afterAutospacing="0" w:line="288" w:lineRule="auto"/>
              <w:ind w:left="0" w:right="0"/>
              <w:jc w:val="center"/>
              <w:rPr>
                <w:rFonts w:hint="default" w:ascii="宋体" w:hAnsi="宋体" w:cs="宋体"/>
                <w:b/>
                <w:bCs/>
                <w:color w:val="auto"/>
                <w:sz w:val="21"/>
                <w:szCs w:val="21"/>
                <w:highlight w:val="none"/>
              </w:rPr>
            </w:pPr>
          </w:p>
        </w:tc>
        <w:tc>
          <w:tcPr>
            <w:tcW w:w="1322" w:type="dxa"/>
            <w:vMerge w:val="continue"/>
            <w:vAlign w:val="center"/>
          </w:tcPr>
          <w:p w14:paraId="0E0D4693">
            <w:pPr>
              <w:keepNext w:val="0"/>
              <w:keepLines w:val="0"/>
              <w:suppressLineNumbers w:val="0"/>
              <w:spacing w:before="0" w:beforeAutospacing="0" w:after="0" w:afterAutospacing="0"/>
              <w:ind w:left="0" w:right="0"/>
              <w:jc w:val="center"/>
              <w:textAlignment w:val="center"/>
              <w:rPr>
                <w:rFonts w:hint="default" w:ascii="宋体" w:hAnsi="宋体" w:cs="宋体"/>
                <w:color w:val="auto"/>
                <w:kern w:val="0"/>
                <w:sz w:val="21"/>
                <w:szCs w:val="21"/>
                <w:highlight w:val="none"/>
              </w:rPr>
            </w:pPr>
          </w:p>
        </w:tc>
        <w:tc>
          <w:tcPr>
            <w:tcW w:w="663" w:type="dxa"/>
            <w:vAlign w:val="center"/>
          </w:tcPr>
          <w:p w14:paraId="0AC714F5">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7034" w:type="dxa"/>
            <w:vAlign w:val="center"/>
          </w:tcPr>
          <w:p w14:paraId="4312C7EE">
            <w:pPr>
              <w:keepNext w:val="0"/>
              <w:keepLines w:val="0"/>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根据投标银行涉农贷款余额排名进行评分。排名第一得</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分，其余投标银行排名每降低一名相应递减0.0</w:t>
            </w:r>
            <w:r>
              <w:rPr>
                <w:rFonts w:hint="default" w:ascii="宋体" w:hAnsi="宋体" w:cs="宋体"/>
                <w:color w:val="auto"/>
                <w:kern w:val="0"/>
                <w:sz w:val="21"/>
                <w:szCs w:val="21"/>
                <w:highlight w:val="none"/>
              </w:rPr>
              <w:t>2</w:t>
            </w:r>
            <w:r>
              <w:rPr>
                <w:rFonts w:hint="eastAsia" w:ascii="宋体" w:hAnsi="宋体" w:cs="宋体"/>
                <w:color w:val="auto"/>
                <w:kern w:val="0"/>
                <w:sz w:val="21"/>
                <w:szCs w:val="21"/>
                <w:highlight w:val="none"/>
              </w:rPr>
              <w:t>分，减完为止。</w:t>
            </w:r>
          </w:p>
        </w:tc>
      </w:tr>
      <w:tr w14:paraId="2D6D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083" w:type="dxa"/>
            <w:vMerge w:val="continue"/>
          </w:tcPr>
          <w:p w14:paraId="4E9E4C2B">
            <w:pPr>
              <w:keepNext w:val="0"/>
              <w:keepLines w:val="0"/>
              <w:suppressLineNumbers w:val="0"/>
              <w:autoSpaceDE w:val="0"/>
              <w:autoSpaceDN w:val="0"/>
              <w:spacing w:before="0" w:beforeAutospacing="0" w:after="0" w:afterAutospacing="0" w:line="288" w:lineRule="auto"/>
              <w:ind w:left="0" w:right="0"/>
              <w:jc w:val="center"/>
              <w:rPr>
                <w:rFonts w:hint="default" w:ascii="宋体" w:hAnsi="宋体" w:cs="宋体"/>
                <w:b/>
                <w:bCs/>
                <w:color w:val="auto"/>
                <w:sz w:val="21"/>
                <w:szCs w:val="21"/>
                <w:highlight w:val="none"/>
              </w:rPr>
            </w:pPr>
          </w:p>
        </w:tc>
        <w:tc>
          <w:tcPr>
            <w:tcW w:w="1322" w:type="dxa"/>
            <w:vMerge w:val="continue"/>
          </w:tcPr>
          <w:p w14:paraId="10B71699">
            <w:pPr>
              <w:keepNext w:val="0"/>
              <w:keepLines w:val="0"/>
              <w:suppressLineNumbers w:val="0"/>
              <w:snapToGrid w:val="0"/>
              <w:spacing w:before="0" w:beforeAutospacing="0" w:after="0" w:afterAutospacing="0" w:line="288" w:lineRule="auto"/>
              <w:ind w:left="0" w:right="0"/>
              <w:jc w:val="center"/>
              <w:rPr>
                <w:rFonts w:hint="default" w:ascii="宋体" w:hAnsi="宋体" w:cs="宋体"/>
                <w:color w:val="auto"/>
                <w:sz w:val="21"/>
                <w:szCs w:val="21"/>
                <w:highlight w:val="none"/>
              </w:rPr>
            </w:pPr>
          </w:p>
        </w:tc>
        <w:tc>
          <w:tcPr>
            <w:tcW w:w="663" w:type="dxa"/>
            <w:vAlign w:val="center"/>
          </w:tcPr>
          <w:p w14:paraId="2FDD98C0">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7034" w:type="dxa"/>
            <w:vAlign w:val="center"/>
          </w:tcPr>
          <w:p w14:paraId="5E3F231A">
            <w:pPr>
              <w:keepNext w:val="0"/>
              <w:keepLines w:val="0"/>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根据投标银行涉农贷款余额占各项贷款余额比例增长情况排名进行评分。排名第一得</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分，其余投标银行排名每降低一名相应递减0.0</w:t>
            </w:r>
            <w:r>
              <w:rPr>
                <w:rFonts w:hint="default" w:ascii="宋体" w:hAnsi="宋体" w:cs="宋体"/>
                <w:color w:val="auto"/>
                <w:kern w:val="0"/>
                <w:sz w:val="21"/>
                <w:szCs w:val="21"/>
                <w:highlight w:val="none"/>
              </w:rPr>
              <w:t>2</w:t>
            </w:r>
            <w:r>
              <w:rPr>
                <w:rFonts w:hint="eastAsia" w:ascii="宋体" w:hAnsi="宋体" w:cs="宋体"/>
                <w:color w:val="auto"/>
                <w:kern w:val="0"/>
                <w:sz w:val="21"/>
                <w:szCs w:val="21"/>
                <w:highlight w:val="none"/>
              </w:rPr>
              <w:t>分，减完为止。</w:t>
            </w:r>
          </w:p>
        </w:tc>
      </w:tr>
      <w:tr w14:paraId="49CD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83" w:type="dxa"/>
            <w:vMerge w:val="continue"/>
          </w:tcPr>
          <w:p w14:paraId="6FB8FE81">
            <w:pPr>
              <w:keepNext w:val="0"/>
              <w:keepLines w:val="0"/>
              <w:suppressLineNumbers w:val="0"/>
              <w:autoSpaceDE w:val="0"/>
              <w:autoSpaceDN w:val="0"/>
              <w:spacing w:before="0" w:beforeAutospacing="0" w:after="0" w:afterAutospacing="0" w:line="288" w:lineRule="auto"/>
              <w:ind w:left="0" w:right="0"/>
              <w:jc w:val="center"/>
              <w:rPr>
                <w:rFonts w:hint="default" w:ascii="宋体" w:hAnsi="宋体" w:cs="宋体"/>
                <w:b/>
                <w:bCs/>
                <w:color w:val="auto"/>
                <w:sz w:val="21"/>
                <w:szCs w:val="21"/>
                <w:highlight w:val="none"/>
              </w:rPr>
            </w:pPr>
          </w:p>
        </w:tc>
        <w:tc>
          <w:tcPr>
            <w:tcW w:w="1322" w:type="dxa"/>
            <w:vMerge w:val="continue"/>
            <w:vAlign w:val="center"/>
          </w:tcPr>
          <w:p w14:paraId="75C0B092">
            <w:pPr>
              <w:keepNext w:val="0"/>
              <w:keepLines w:val="0"/>
              <w:suppressLineNumbers w:val="0"/>
              <w:spacing w:before="0" w:beforeAutospacing="0" w:after="0" w:afterAutospacing="0"/>
              <w:ind w:left="0" w:right="0"/>
              <w:textAlignment w:val="center"/>
              <w:rPr>
                <w:rFonts w:hint="default" w:ascii="宋体" w:hAnsi="宋体" w:cs="宋体"/>
                <w:color w:val="auto"/>
                <w:kern w:val="0"/>
                <w:sz w:val="21"/>
                <w:szCs w:val="21"/>
                <w:highlight w:val="none"/>
              </w:rPr>
            </w:pPr>
          </w:p>
        </w:tc>
        <w:tc>
          <w:tcPr>
            <w:tcW w:w="663" w:type="dxa"/>
            <w:vAlign w:val="center"/>
          </w:tcPr>
          <w:p w14:paraId="52156666">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7034" w:type="dxa"/>
            <w:vAlign w:val="center"/>
          </w:tcPr>
          <w:p w14:paraId="5A579FF8">
            <w:pPr>
              <w:keepNext w:val="0"/>
              <w:keepLines w:val="0"/>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根据投标银行民营企业贷款余额排名进行评分。排名第一得</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分，其余投标银行排名每降低一名相应递减0.0</w:t>
            </w:r>
            <w:r>
              <w:rPr>
                <w:rFonts w:hint="default" w:ascii="宋体" w:hAnsi="宋体" w:cs="宋体"/>
                <w:color w:val="auto"/>
                <w:kern w:val="0"/>
                <w:sz w:val="21"/>
                <w:szCs w:val="21"/>
                <w:highlight w:val="none"/>
              </w:rPr>
              <w:t>2</w:t>
            </w:r>
            <w:r>
              <w:rPr>
                <w:rFonts w:hint="eastAsia" w:ascii="宋体" w:hAnsi="宋体" w:cs="宋体"/>
                <w:color w:val="auto"/>
                <w:kern w:val="0"/>
                <w:sz w:val="21"/>
                <w:szCs w:val="21"/>
                <w:highlight w:val="none"/>
              </w:rPr>
              <w:t>分，减完为止。</w:t>
            </w:r>
          </w:p>
        </w:tc>
      </w:tr>
      <w:tr w14:paraId="2DB2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3" w:type="dxa"/>
            <w:vMerge w:val="continue"/>
          </w:tcPr>
          <w:p w14:paraId="44034C12">
            <w:pPr>
              <w:keepNext w:val="0"/>
              <w:keepLines w:val="0"/>
              <w:suppressLineNumbers w:val="0"/>
              <w:autoSpaceDE w:val="0"/>
              <w:autoSpaceDN w:val="0"/>
              <w:spacing w:before="0" w:beforeAutospacing="0" w:after="0" w:afterAutospacing="0" w:line="288" w:lineRule="auto"/>
              <w:ind w:left="0" w:right="0"/>
              <w:jc w:val="center"/>
              <w:rPr>
                <w:rFonts w:hint="default" w:ascii="宋体" w:hAnsi="宋体" w:cs="宋体"/>
                <w:b/>
                <w:bCs/>
                <w:color w:val="auto"/>
                <w:sz w:val="21"/>
                <w:szCs w:val="21"/>
                <w:highlight w:val="none"/>
              </w:rPr>
            </w:pPr>
          </w:p>
        </w:tc>
        <w:tc>
          <w:tcPr>
            <w:tcW w:w="1322" w:type="dxa"/>
            <w:vMerge w:val="continue"/>
          </w:tcPr>
          <w:p w14:paraId="32E274CD">
            <w:pPr>
              <w:keepNext w:val="0"/>
              <w:keepLines w:val="0"/>
              <w:suppressLineNumbers w:val="0"/>
              <w:snapToGrid w:val="0"/>
              <w:spacing w:before="0" w:beforeAutospacing="0" w:after="0" w:afterAutospacing="0" w:line="288" w:lineRule="auto"/>
              <w:ind w:left="0" w:right="0"/>
              <w:jc w:val="center"/>
              <w:rPr>
                <w:rFonts w:hint="default" w:ascii="宋体" w:hAnsi="宋体" w:cs="宋体"/>
                <w:color w:val="auto"/>
                <w:sz w:val="21"/>
                <w:szCs w:val="21"/>
                <w:highlight w:val="none"/>
              </w:rPr>
            </w:pPr>
          </w:p>
        </w:tc>
        <w:tc>
          <w:tcPr>
            <w:tcW w:w="663" w:type="dxa"/>
            <w:vAlign w:val="center"/>
          </w:tcPr>
          <w:p w14:paraId="4D1A363C">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7034" w:type="dxa"/>
            <w:vAlign w:val="center"/>
          </w:tcPr>
          <w:p w14:paraId="5E91E8FA">
            <w:pPr>
              <w:keepNext w:val="0"/>
              <w:keepLines w:val="0"/>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根据投标银行民营企业贷款余额占各项贷款余额比例增长情况排名进行评分。排名第一得</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分，其余投标银行排名每降低一名相应递减0.0</w:t>
            </w:r>
            <w:r>
              <w:rPr>
                <w:rFonts w:hint="default" w:ascii="宋体" w:hAnsi="宋体" w:cs="宋体"/>
                <w:color w:val="auto"/>
                <w:kern w:val="0"/>
                <w:sz w:val="21"/>
                <w:szCs w:val="21"/>
                <w:highlight w:val="none"/>
              </w:rPr>
              <w:t>2</w:t>
            </w:r>
            <w:r>
              <w:rPr>
                <w:rFonts w:hint="eastAsia" w:ascii="宋体" w:hAnsi="宋体" w:cs="宋体"/>
                <w:color w:val="auto"/>
                <w:kern w:val="0"/>
                <w:sz w:val="21"/>
                <w:szCs w:val="21"/>
                <w:highlight w:val="none"/>
              </w:rPr>
              <w:t>分，减完为止。</w:t>
            </w:r>
          </w:p>
        </w:tc>
      </w:tr>
      <w:tr w14:paraId="0CE4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3" w:type="dxa"/>
            <w:vMerge w:val="continue"/>
          </w:tcPr>
          <w:p w14:paraId="23C87B20">
            <w:pPr>
              <w:keepNext w:val="0"/>
              <w:keepLines w:val="0"/>
              <w:suppressLineNumbers w:val="0"/>
              <w:autoSpaceDE w:val="0"/>
              <w:autoSpaceDN w:val="0"/>
              <w:spacing w:before="0" w:beforeAutospacing="0" w:after="0" w:afterAutospacing="0" w:line="288" w:lineRule="auto"/>
              <w:ind w:left="0" w:right="0"/>
              <w:jc w:val="center"/>
              <w:rPr>
                <w:rFonts w:hint="default" w:ascii="宋体" w:hAnsi="宋体" w:cs="宋体"/>
                <w:b/>
                <w:bCs/>
                <w:color w:val="auto"/>
                <w:sz w:val="21"/>
                <w:szCs w:val="21"/>
                <w:highlight w:val="none"/>
              </w:rPr>
            </w:pPr>
          </w:p>
        </w:tc>
        <w:tc>
          <w:tcPr>
            <w:tcW w:w="1322" w:type="dxa"/>
            <w:vMerge w:val="restart"/>
            <w:vAlign w:val="center"/>
          </w:tcPr>
          <w:p w14:paraId="0D45D9B6">
            <w:pPr>
              <w:keepNext w:val="0"/>
              <w:keepLines w:val="0"/>
              <w:suppressLineNumbers w:val="0"/>
              <w:snapToGrid w:val="0"/>
              <w:spacing w:before="0" w:beforeAutospacing="0" w:after="0" w:afterAutospacing="0" w:line="288"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4.支持科技情况</w:t>
            </w:r>
          </w:p>
        </w:tc>
        <w:tc>
          <w:tcPr>
            <w:tcW w:w="663" w:type="dxa"/>
            <w:vAlign w:val="center"/>
          </w:tcPr>
          <w:p w14:paraId="18FB403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7034" w:type="dxa"/>
            <w:vAlign w:val="center"/>
          </w:tcPr>
          <w:p w14:paraId="016ABEC6">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1.科技贷款余额（</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分）。</w:t>
            </w:r>
            <w:r>
              <w:rPr>
                <w:rFonts w:hint="eastAsia" w:ascii="宋体" w:hAnsi="宋体" w:eastAsia="宋体" w:cs="宋体"/>
                <w:color w:val="auto"/>
                <w:kern w:val="0"/>
                <w:sz w:val="21"/>
                <w:szCs w:val="21"/>
                <w:highlight w:val="none"/>
              </w:rPr>
              <w:t>根据投标银行</w:t>
            </w:r>
            <w:r>
              <w:rPr>
                <w:rFonts w:hint="eastAsia" w:ascii="宋体" w:hAnsi="宋体" w:eastAsia="宋体" w:cs="宋体"/>
                <w:color w:val="auto"/>
                <w:kern w:val="0"/>
                <w:sz w:val="21"/>
                <w:szCs w:val="21"/>
                <w:highlight w:val="none"/>
                <w:lang w:val="en-US" w:eastAsia="zh-CN"/>
              </w:rPr>
              <w:t>科技贷款余额</w:t>
            </w:r>
            <w:r>
              <w:rPr>
                <w:rFonts w:hint="eastAsia" w:ascii="宋体" w:hAnsi="宋体" w:eastAsia="宋体" w:cs="宋体"/>
                <w:color w:val="auto"/>
                <w:kern w:val="0"/>
                <w:sz w:val="21"/>
                <w:szCs w:val="21"/>
                <w:highlight w:val="none"/>
              </w:rPr>
              <w:t>排名进行评分。</w:t>
            </w:r>
            <w:r>
              <w:rPr>
                <w:rFonts w:hint="eastAsia" w:ascii="宋体" w:hAnsi="宋体" w:eastAsia="宋体" w:cs="宋体"/>
                <w:color w:val="auto"/>
                <w:sz w:val="21"/>
                <w:szCs w:val="21"/>
                <w:highlight w:val="none"/>
              </w:rPr>
              <w:t>排名第一得</w:t>
            </w:r>
            <w:r>
              <w:rPr>
                <w:rFonts w:hint="eastAsia" w:ascii="宋体" w:hAnsi="宋体" w:eastAsia="宋体" w:cs="宋体"/>
                <w:color w:val="auto"/>
                <w:sz w:val="21"/>
                <w:szCs w:val="21"/>
                <w:highlight w:val="none"/>
                <w:lang w:val="en-US" w:eastAsia="zh-CN"/>
              </w:rPr>
              <w:t>满</w:t>
            </w:r>
            <w:r>
              <w:rPr>
                <w:rFonts w:hint="eastAsia" w:ascii="宋体" w:hAnsi="宋体" w:eastAsia="宋体" w:cs="宋体"/>
                <w:color w:val="auto"/>
                <w:sz w:val="21"/>
                <w:szCs w:val="21"/>
                <w:highlight w:val="none"/>
              </w:rPr>
              <w:t>分</w:t>
            </w:r>
            <w:r>
              <w:rPr>
                <w:rFonts w:hint="eastAsia" w:ascii="宋体" w:hAnsi="宋体" w:eastAsia="宋体" w:cs="宋体"/>
                <w:color w:val="auto"/>
                <w:kern w:val="0"/>
                <w:sz w:val="21"/>
                <w:szCs w:val="21"/>
                <w:highlight w:val="none"/>
              </w:rPr>
              <w:t>，其余投标银行排名每降低一名相应递减0.</w:t>
            </w:r>
            <w:r>
              <w:rPr>
                <w:rFonts w:hint="eastAsia" w:ascii="宋体" w:hAnsi="宋体" w:eastAsia="宋体" w:cs="宋体"/>
                <w:color w:val="auto"/>
                <w:kern w:val="0"/>
                <w:sz w:val="21"/>
                <w:szCs w:val="21"/>
                <w:highlight w:val="none"/>
                <w:lang w:val="en-US" w:eastAsia="zh-CN"/>
              </w:rPr>
              <w:t>02</w:t>
            </w:r>
            <w:r>
              <w:rPr>
                <w:rFonts w:hint="eastAsia" w:ascii="宋体" w:hAnsi="宋体" w:eastAsia="宋体" w:cs="宋体"/>
                <w:color w:val="auto"/>
                <w:kern w:val="0"/>
                <w:sz w:val="21"/>
                <w:szCs w:val="21"/>
                <w:highlight w:val="none"/>
              </w:rPr>
              <w:t>分，减完为止。</w:t>
            </w:r>
          </w:p>
        </w:tc>
      </w:tr>
      <w:tr w14:paraId="0E3E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3" w:type="dxa"/>
            <w:vMerge w:val="continue"/>
          </w:tcPr>
          <w:p w14:paraId="32E7D197">
            <w:pPr>
              <w:keepNext w:val="0"/>
              <w:keepLines w:val="0"/>
              <w:suppressLineNumbers w:val="0"/>
              <w:autoSpaceDE w:val="0"/>
              <w:autoSpaceDN w:val="0"/>
              <w:spacing w:before="0" w:beforeAutospacing="0" w:after="0" w:afterAutospacing="0" w:line="288" w:lineRule="auto"/>
              <w:ind w:left="0" w:right="0"/>
              <w:jc w:val="center"/>
              <w:rPr>
                <w:rFonts w:hint="default" w:ascii="宋体" w:hAnsi="宋体" w:cs="宋体"/>
                <w:b/>
                <w:bCs/>
                <w:color w:val="auto"/>
                <w:sz w:val="21"/>
                <w:szCs w:val="21"/>
                <w:highlight w:val="none"/>
              </w:rPr>
            </w:pPr>
          </w:p>
        </w:tc>
        <w:tc>
          <w:tcPr>
            <w:tcW w:w="1322" w:type="dxa"/>
            <w:vMerge w:val="continue"/>
          </w:tcPr>
          <w:p w14:paraId="758D4313">
            <w:pPr>
              <w:keepNext w:val="0"/>
              <w:keepLines w:val="0"/>
              <w:suppressLineNumbers w:val="0"/>
              <w:snapToGrid w:val="0"/>
              <w:spacing w:before="0" w:beforeAutospacing="0" w:after="0" w:afterAutospacing="0" w:line="288" w:lineRule="auto"/>
              <w:ind w:left="0" w:right="0"/>
              <w:jc w:val="center"/>
              <w:rPr>
                <w:rFonts w:hint="default" w:ascii="宋体" w:hAnsi="宋体" w:cs="宋体"/>
                <w:color w:val="auto"/>
                <w:sz w:val="21"/>
                <w:szCs w:val="21"/>
                <w:highlight w:val="none"/>
              </w:rPr>
            </w:pPr>
          </w:p>
        </w:tc>
        <w:tc>
          <w:tcPr>
            <w:tcW w:w="663" w:type="dxa"/>
            <w:vAlign w:val="center"/>
          </w:tcPr>
          <w:p w14:paraId="07DC263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7034" w:type="dxa"/>
            <w:vAlign w:val="center"/>
          </w:tcPr>
          <w:p w14:paraId="3C986F6D">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2.</w:t>
            </w:r>
            <w:r>
              <w:rPr>
                <w:rFonts w:hint="eastAsia" w:ascii="宋体" w:hAnsi="宋体" w:eastAsia="宋体" w:cs="宋体"/>
                <w:color w:val="auto"/>
                <w:kern w:val="0"/>
                <w:sz w:val="21"/>
                <w:szCs w:val="21"/>
                <w:highlight w:val="none"/>
              </w:rPr>
              <w:t>根据投标银行</w:t>
            </w:r>
            <w:r>
              <w:rPr>
                <w:rFonts w:hint="eastAsia" w:ascii="宋体" w:hAnsi="宋体" w:eastAsia="宋体" w:cs="宋体"/>
                <w:color w:val="auto"/>
                <w:kern w:val="0"/>
                <w:sz w:val="21"/>
                <w:szCs w:val="21"/>
                <w:highlight w:val="none"/>
                <w:lang w:val="en-US" w:eastAsia="zh-CN"/>
              </w:rPr>
              <w:t>科技贷款余额占各项贷款余额比例增长情况</w:t>
            </w:r>
            <w:r>
              <w:rPr>
                <w:rFonts w:hint="eastAsia" w:ascii="宋体" w:hAnsi="宋体" w:eastAsia="宋体" w:cs="宋体"/>
                <w:color w:val="auto"/>
                <w:kern w:val="0"/>
                <w:sz w:val="21"/>
                <w:szCs w:val="21"/>
                <w:highlight w:val="none"/>
              </w:rPr>
              <w:t>排名进行评分。</w:t>
            </w:r>
            <w:r>
              <w:rPr>
                <w:rFonts w:hint="eastAsia" w:ascii="宋体" w:hAnsi="宋体" w:eastAsia="宋体" w:cs="宋体"/>
                <w:color w:val="auto"/>
                <w:sz w:val="21"/>
                <w:szCs w:val="21"/>
                <w:highlight w:val="none"/>
              </w:rPr>
              <w:t>排名第一得</w:t>
            </w:r>
            <w:r>
              <w:rPr>
                <w:rFonts w:hint="eastAsia" w:ascii="宋体" w:hAnsi="宋体" w:eastAsia="宋体" w:cs="宋体"/>
                <w:color w:val="auto"/>
                <w:sz w:val="21"/>
                <w:szCs w:val="21"/>
                <w:highlight w:val="none"/>
                <w:lang w:val="en-US" w:eastAsia="zh-CN"/>
              </w:rPr>
              <w:t>满</w:t>
            </w:r>
            <w:r>
              <w:rPr>
                <w:rFonts w:hint="eastAsia" w:ascii="宋体" w:hAnsi="宋体" w:eastAsia="宋体" w:cs="宋体"/>
                <w:color w:val="auto"/>
                <w:sz w:val="21"/>
                <w:szCs w:val="21"/>
                <w:highlight w:val="none"/>
              </w:rPr>
              <w:t>分</w:t>
            </w:r>
            <w:r>
              <w:rPr>
                <w:rFonts w:hint="eastAsia" w:ascii="宋体" w:hAnsi="宋体" w:eastAsia="宋体" w:cs="宋体"/>
                <w:color w:val="auto"/>
                <w:kern w:val="0"/>
                <w:sz w:val="21"/>
                <w:szCs w:val="21"/>
                <w:highlight w:val="none"/>
              </w:rPr>
              <w:t>，其余投标银行排名每降低一名相应递减0.</w:t>
            </w:r>
            <w:r>
              <w:rPr>
                <w:rFonts w:hint="eastAsia" w:ascii="宋体" w:hAnsi="宋体" w:eastAsia="宋体" w:cs="宋体"/>
                <w:color w:val="auto"/>
                <w:kern w:val="0"/>
                <w:sz w:val="21"/>
                <w:szCs w:val="21"/>
                <w:highlight w:val="none"/>
                <w:lang w:val="en-US" w:eastAsia="zh-CN"/>
              </w:rPr>
              <w:t>02</w:t>
            </w:r>
            <w:r>
              <w:rPr>
                <w:rFonts w:hint="eastAsia" w:ascii="宋体" w:hAnsi="宋体" w:eastAsia="宋体" w:cs="宋体"/>
                <w:color w:val="auto"/>
                <w:kern w:val="0"/>
                <w:sz w:val="21"/>
                <w:szCs w:val="21"/>
                <w:highlight w:val="none"/>
              </w:rPr>
              <w:t>分，减完为止。</w:t>
            </w:r>
          </w:p>
        </w:tc>
      </w:tr>
      <w:tr w14:paraId="6925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3" w:type="dxa"/>
            <w:vMerge w:val="continue"/>
          </w:tcPr>
          <w:p w14:paraId="77D6B705">
            <w:pPr>
              <w:keepNext w:val="0"/>
              <w:keepLines w:val="0"/>
              <w:suppressLineNumbers w:val="0"/>
              <w:autoSpaceDE w:val="0"/>
              <w:autoSpaceDN w:val="0"/>
              <w:spacing w:before="0" w:beforeAutospacing="0" w:after="0" w:afterAutospacing="0" w:line="288" w:lineRule="auto"/>
              <w:ind w:left="0" w:right="0"/>
              <w:jc w:val="center"/>
              <w:rPr>
                <w:rFonts w:hint="default" w:ascii="宋体" w:hAnsi="宋体" w:cs="宋体"/>
                <w:b/>
                <w:bCs/>
                <w:color w:val="auto"/>
                <w:sz w:val="21"/>
                <w:szCs w:val="21"/>
                <w:highlight w:val="none"/>
              </w:rPr>
            </w:pPr>
          </w:p>
        </w:tc>
        <w:tc>
          <w:tcPr>
            <w:tcW w:w="1322" w:type="dxa"/>
            <w:vMerge w:val="restart"/>
            <w:vAlign w:val="center"/>
          </w:tcPr>
          <w:p w14:paraId="070F8F0F">
            <w:pPr>
              <w:keepNext w:val="0"/>
              <w:keepLines w:val="0"/>
              <w:suppressLineNumbers w:val="0"/>
              <w:snapToGrid w:val="0"/>
              <w:spacing w:before="0" w:beforeAutospacing="0" w:after="0" w:afterAutospacing="0" w:line="288"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5.绿色金融情况</w:t>
            </w:r>
          </w:p>
        </w:tc>
        <w:tc>
          <w:tcPr>
            <w:tcW w:w="663" w:type="dxa"/>
            <w:vAlign w:val="center"/>
          </w:tcPr>
          <w:p w14:paraId="0FB91FB9">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1</w:t>
            </w:r>
          </w:p>
        </w:tc>
        <w:tc>
          <w:tcPr>
            <w:tcW w:w="7034" w:type="dxa"/>
            <w:vAlign w:val="center"/>
          </w:tcPr>
          <w:p w14:paraId="78E790A4">
            <w:pPr>
              <w:pStyle w:val="8"/>
              <w:keepNext w:val="0"/>
              <w:keepLines w:val="0"/>
              <w:numPr>
                <w:ilvl w:val="0"/>
                <w:numId w:val="4"/>
              </w:numPr>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根据投标银行</w:t>
            </w:r>
            <w:r>
              <w:rPr>
                <w:rFonts w:hint="eastAsia" w:ascii="宋体" w:hAnsi="宋体" w:eastAsia="宋体" w:cs="宋体"/>
                <w:color w:val="auto"/>
                <w:kern w:val="0"/>
                <w:sz w:val="21"/>
                <w:szCs w:val="21"/>
                <w:highlight w:val="none"/>
                <w:lang w:val="en-US" w:eastAsia="zh-CN"/>
              </w:rPr>
              <w:t>绿色贷款余额</w:t>
            </w:r>
            <w:r>
              <w:rPr>
                <w:rFonts w:hint="eastAsia" w:ascii="宋体" w:hAnsi="宋体" w:eastAsia="宋体" w:cs="宋体"/>
                <w:color w:val="auto"/>
                <w:kern w:val="0"/>
                <w:sz w:val="21"/>
                <w:szCs w:val="21"/>
                <w:highlight w:val="none"/>
              </w:rPr>
              <w:t>排名进行评分。</w:t>
            </w:r>
            <w:r>
              <w:rPr>
                <w:rFonts w:hint="eastAsia" w:ascii="宋体" w:hAnsi="宋体" w:eastAsia="宋体" w:cs="宋体"/>
                <w:color w:val="auto"/>
                <w:sz w:val="21"/>
                <w:szCs w:val="21"/>
                <w:highlight w:val="none"/>
              </w:rPr>
              <w:t>排名第一得</w:t>
            </w:r>
            <w:r>
              <w:rPr>
                <w:rFonts w:hint="eastAsia" w:ascii="宋体" w:hAnsi="宋体" w:eastAsia="宋体" w:cs="宋体"/>
                <w:color w:val="auto"/>
                <w:sz w:val="21"/>
                <w:szCs w:val="21"/>
                <w:highlight w:val="none"/>
                <w:lang w:val="en-US" w:eastAsia="zh-CN"/>
              </w:rPr>
              <w:t>满</w:t>
            </w:r>
            <w:r>
              <w:rPr>
                <w:rFonts w:hint="eastAsia" w:ascii="宋体" w:hAnsi="宋体" w:eastAsia="宋体" w:cs="宋体"/>
                <w:color w:val="auto"/>
                <w:sz w:val="21"/>
                <w:szCs w:val="21"/>
                <w:highlight w:val="none"/>
              </w:rPr>
              <w:t>分</w:t>
            </w:r>
            <w:r>
              <w:rPr>
                <w:rFonts w:hint="eastAsia" w:ascii="宋体" w:hAnsi="宋体" w:eastAsia="宋体" w:cs="宋体"/>
                <w:color w:val="auto"/>
                <w:kern w:val="0"/>
                <w:sz w:val="21"/>
                <w:szCs w:val="21"/>
                <w:highlight w:val="none"/>
              </w:rPr>
              <w:t>，其余投标银行排名每降低一名相应递减0.</w:t>
            </w:r>
            <w:r>
              <w:rPr>
                <w:rFonts w:hint="eastAsia" w:ascii="宋体" w:hAnsi="宋体" w:eastAsia="宋体" w:cs="宋体"/>
                <w:color w:val="auto"/>
                <w:kern w:val="0"/>
                <w:sz w:val="21"/>
                <w:szCs w:val="21"/>
                <w:highlight w:val="none"/>
                <w:lang w:val="en-US" w:eastAsia="zh-CN"/>
              </w:rPr>
              <w:t>02</w:t>
            </w:r>
            <w:r>
              <w:rPr>
                <w:rFonts w:hint="eastAsia" w:ascii="宋体" w:hAnsi="宋体" w:eastAsia="宋体" w:cs="宋体"/>
                <w:color w:val="auto"/>
                <w:kern w:val="0"/>
                <w:sz w:val="21"/>
                <w:szCs w:val="21"/>
                <w:highlight w:val="none"/>
              </w:rPr>
              <w:t>分，减完为止。</w:t>
            </w:r>
          </w:p>
        </w:tc>
      </w:tr>
      <w:tr w14:paraId="473C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3" w:type="dxa"/>
            <w:vMerge w:val="continue"/>
          </w:tcPr>
          <w:p w14:paraId="63B40F87">
            <w:pPr>
              <w:keepNext w:val="0"/>
              <w:keepLines w:val="0"/>
              <w:suppressLineNumbers w:val="0"/>
              <w:autoSpaceDE w:val="0"/>
              <w:autoSpaceDN w:val="0"/>
              <w:spacing w:before="0" w:beforeAutospacing="0" w:after="0" w:afterAutospacing="0" w:line="288" w:lineRule="auto"/>
              <w:ind w:left="0" w:right="0"/>
              <w:jc w:val="center"/>
              <w:rPr>
                <w:rFonts w:hint="default" w:ascii="宋体" w:hAnsi="宋体" w:cs="宋体"/>
                <w:b/>
                <w:bCs/>
                <w:color w:val="auto"/>
                <w:sz w:val="21"/>
                <w:szCs w:val="21"/>
                <w:highlight w:val="none"/>
              </w:rPr>
            </w:pPr>
          </w:p>
        </w:tc>
        <w:tc>
          <w:tcPr>
            <w:tcW w:w="1322" w:type="dxa"/>
            <w:vMerge w:val="continue"/>
          </w:tcPr>
          <w:p w14:paraId="5E89AD1E">
            <w:pPr>
              <w:keepNext w:val="0"/>
              <w:keepLines w:val="0"/>
              <w:suppressLineNumbers w:val="0"/>
              <w:snapToGrid w:val="0"/>
              <w:spacing w:before="0" w:beforeAutospacing="0" w:after="0" w:afterAutospacing="0" w:line="288" w:lineRule="auto"/>
              <w:ind w:left="0" w:right="0"/>
              <w:jc w:val="center"/>
              <w:rPr>
                <w:rFonts w:hint="default" w:ascii="宋体" w:hAnsi="宋体" w:cs="宋体"/>
                <w:color w:val="auto"/>
                <w:sz w:val="21"/>
                <w:szCs w:val="21"/>
                <w:highlight w:val="none"/>
              </w:rPr>
            </w:pPr>
          </w:p>
        </w:tc>
        <w:tc>
          <w:tcPr>
            <w:tcW w:w="663" w:type="dxa"/>
            <w:vAlign w:val="center"/>
          </w:tcPr>
          <w:p w14:paraId="1C7D7C8B">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1</w:t>
            </w:r>
          </w:p>
        </w:tc>
        <w:tc>
          <w:tcPr>
            <w:tcW w:w="7034" w:type="dxa"/>
            <w:vAlign w:val="center"/>
          </w:tcPr>
          <w:p w14:paraId="2FB3AC72">
            <w:pPr>
              <w:pStyle w:val="8"/>
              <w:keepNext w:val="0"/>
              <w:keepLines w:val="0"/>
              <w:numPr>
                <w:ilvl w:val="0"/>
                <w:numId w:val="4"/>
              </w:numPr>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根据投标银行</w:t>
            </w:r>
            <w:r>
              <w:rPr>
                <w:rFonts w:hint="eastAsia" w:ascii="宋体" w:hAnsi="宋体" w:eastAsia="宋体" w:cs="宋体"/>
                <w:color w:val="auto"/>
                <w:kern w:val="0"/>
                <w:sz w:val="21"/>
                <w:szCs w:val="21"/>
                <w:highlight w:val="none"/>
                <w:lang w:val="en-US" w:eastAsia="zh-CN"/>
              </w:rPr>
              <w:t>绿色贷款余额占各项贷款余额比例</w:t>
            </w:r>
            <w:r>
              <w:rPr>
                <w:rFonts w:hint="eastAsia" w:ascii="宋体" w:hAnsi="宋体" w:eastAsia="宋体" w:cs="宋体"/>
                <w:color w:val="auto"/>
                <w:kern w:val="0"/>
                <w:sz w:val="21"/>
                <w:szCs w:val="21"/>
                <w:highlight w:val="none"/>
              </w:rPr>
              <w:t>排名进行评分。</w:t>
            </w:r>
            <w:r>
              <w:rPr>
                <w:rFonts w:hint="eastAsia" w:ascii="宋体" w:hAnsi="宋体" w:eastAsia="宋体" w:cs="宋体"/>
                <w:color w:val="auto"/>
                <w:sz w:val="21"/>
                <w:szCs w:val="21"/>
                <w:highlight w:val="none"/>
              </w:rPr>
              <w:t>排名第一得</w:t>
            </w:r>
            <w:r>
              <w:rPr>
                <w:rFonts w:hint="eastAsia" w:ascii="宋体" w:hAnsi="宋体" w:eastAsia="宋体" w:cs="宋体"/>
                <w:color w:val="auto"/>
                <w:sz w:val="21"/>
                <w:szCs w:val="21"/>
                <w:highlight w:val="none"/>
                <w:lang w:val="en-US" w:eastAsia="zh-CN"/>
              </w:rPr>
              <w:t>满</w:t>
            </w:r>
            <w:r>
              <w:rPr>
                <w:rFonts w:hint="eastAsia" w:ascii="宋体" w:hAnsi="宋体" w:eastAsia="宋体" w:cs="宋体"/>
                <w:color w:val="auto"/>
                <w:sz w:val="21"/>
                <w:szCs w:val="21"/>
                <w:highlight w:val="none"/>
              </w:rPr>
              <w:t>分</w:t>
            </w:r>
            <w:r>
              <w:rPr>
                <w:rFonts w:hint="eastAsia" w:ascii="宋体" w:hAnsi="宋体" w:eastAsia="宋体" w:cs="宋体"/>
                <w:color w:val="auto"/>
                <w:kern w:val="0"/>
                <w:sz w:val="21"/>
                <w:szCs w:val="21"/>
                <w:highlight w:val="none"/>
              </w:rPr>
              <w:t>，其余投标银行排名每降低一名相应递减0.</w:t>
            </w:r>
            <w:r>
              <w:rPr>
                <w:rFonts w:hint="eastAsia" w:ascii="宋体" w:hAnsi="宋体" w:eastAsia="宋体" w:cs="宋体"/>
                <w:color w:val="auto"/>
                <w:kern w:val="0"/>
                <w:sz w:val="21"/>
                <w:szCs w:val="21"/>
                <w:highlight w:val="none"/>
                <w:lang w:val="en-US" w:eastAsia="zh-CN"/>
              </w:rPr>
              <w:t>02</w:t>
            </w:r>
            <w:r>
              <w:rPr>
                <w:rFonts w:hint="eastAsia" w:ascii="宋体" w:hAnsi="宋体" w:eastAsia="宋体" w:cs="宋体"/>
                <w:color w:val="auto"/>
                <w:kern w:val="0"/>
                <w:sz w:val="21"/>
                <w:szCs w:val="21"/>
                <w:highlight w:val="none"/>
              </w:rPr>
              <w:t>分，减完为止。</w:t>
            </w:r>
          </w:p>
        </w:tc>
      </w:tr>
      <w:tr w14:paraId="2276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83" w:type="dxa"/>
            <w:vMerge w:val="continue"/>
          </w:tcPr>
          <w:p w14:paraId="5FC844EE">
            <w:pPr>
              <w:keepNext w:val="0"/>
              <w:keepLines w:val="0"/>
              <w:suppressLineNumbers w:val="0"/>
              <w:autoSpaceDE w:val="0"/>
              <w:autoSpaceDN w:val="0"/>
              <w:spacing w:before="0" w:beforeAutospacing="0" w:after="0" w:afterAutospacing="0" w:line="288" w:lineRule="auto"/>
              <w:ind w:left="0" w:right="0"/>
              <w:jc w:val="center"/>
              <w:rPr>
                <w:rFonts w:hint="default" w:ascii="宋体" w:hAnsi="宋体" w:cs="宋体"/>
                <w:b/>
                <w:bCs/>
                <w:color w:val="auto"/>
                <w:sz w:val="21"/>
                <w:szCs w:val="21"/>
                <w:highlight w:val="none"/>
              </w:rPr>
            </w:pPr>
          </w:p>
        </w:tc>
        <w:tc>
          <w:tcPr>
            <w:tcW w:w="1322" w:type="dxa"/>
            <w:vMerge w:val="restart"/>
            <w:vAlign w:val="center"/>
          </w:tcPr>
          <w:p w14:paraId="701A775F">
            <w:pPr>
              <w:keepNext w:val="0"/>
              <w:keepLines w:val="0"/>
              <w:suppressLineNumbers w:val="0"/>
              <w:spacing w:before="0" w:beforeAutospacing="0" w:after="0" w:afterAutospacing="0"/>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6.纳税情况</w:t>
            </w:r>
          </w:p>
        </w:tc>
        <w:tc>
          <w:tcPr>
            <w:tcW w:w="663" w:type="dxa"/>
            <w:vAlign w:val="center"/>
          </w:tcPr>
          <w:p w14:paraId="31EFA92D">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7034" w:type="dxa"/>
            <w:vAlign w:val="center"/>
          </w:tcPr>
          <w:p w14:paraId="2686A3BF">
            <w:pPr>
              <w:keepNext w:val="0"/>
              <w:keepLines w:val="0"/>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根据投标银行纳税总额排名进行评分。排名第一得</w:t>
            </w:r>
            <w:r>
              <w:rPr>
                <w:rFonts w:hint="default" w:ascii="宋体" w:hAnsi="宋体" w:cs="宋体"/>
                <w:color w:val="auto"/>
                <w:kern w:val="0"/>
                <w:sz w:val="21"/>
                <w:szCs w:val="21"/>
                <w:highlight w:val="none"/>
              </w:rPr>
              <w:t>2</w:t>
            </w:r>
            <w:r>
              <w:rPr>
                <w:rFonts w:hint="eastAsia" w:ascii="宋体" w:hAnsi="宋体" w:cs="宋体"/>
                <w:color w:val="auto"/>
                <w:kern w:val="0"/>
                <w:sz w:val="21"/>
                <w:szCs w:val="21"/>
                <w:highlight w:val="none"/>
              </w:rPr>
              <w:t>分，其余投标银行排名每降低一名相应递减0.0</w:t>
            </w:r>
            <w:r>
              <w:rPr>
                <w:rFonts w:hint="default" w:ascii="宋体" w:hAnsi="宋体" w:cs="宋体"/>
                <w:color w:val="auto"/>
                <w:kern w:val="0"/>
                <w:sz w:val="21"/>
                <w:szCs w:val="21"/>
                <w:highlight w:val="none"/>
              </w:rPr>
              <w:t>2</w:t>
            </w:r>
            <w:r>
              <w:rPr>
                <w:rFonts w:hint="eastAsia" w:ascii="宋体" w:hAnsi="宋体" w:cs="宋体"/>
                <w:color w:val="auto"/>
                <w:kern w:val="0"/>
                <w:sz w:val="21"/>
                <w:szCs w:val="21"/>
                <w:highlight w:val="none"/>
              </w:rPr>
              <w:t>分，减完为止。</w:t>
            </w:r>
          </w:p>
        </w:tc>
      </w:tr>
      <w:tr w14:paraId="0096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083" w:type="dxa"/>
            <w:vMerge w:val="continue"/>
          </w:tcPr>
          <w:p w14:paraId="4C87F562">
            <w:pPr>
              <w:keepNext w:val="0"/>
              <w:keepLines w:val="0"/>
              <w:suppressLineNumbers w:val="0"/>
              <w:autoSpaceDE w:val="0"/>
              <w:autoSpaceDN w:val="0"/>
              <w:spacing w:before="0" w:beforeAutospacing="0" w:after="0" w:afterAutospacing="0" w:line="288" w:lineRule="auto"/>
              <w:ind w:left="0" w:right="0"/>
              <w:jc w:val="center"/>
              <w:rPr>
                <w:rFonts w:hint="default" w:ascii="宋体" w:hAnsi="宋体" w:cs="宋体"/>
                <w:b/>
                <w:bCs/>
                <w:color w:val="auto"/>
                <w:sz w:val="21"/>
                <w:szCs w:val="21"/>
                <w:highlight w:val="none"/>
              </w:rPr>
            </w:pPr>
          </w:p>
        </w:tc>
        <w:tc>
          <w:tcPr>
            <w:tcW w:w="1322" w:type="dxa"/>
            <w:vMerge w:val="continue"/>
          </w:tcPr>
          <w:p w14:paraId="44C81E05">
            <w:pPr>
              <w:keepNext w:val="0"/>
              <w:keepLines w:val="0"/>
              <w:suppressLineNumbers w:val="0"/>
              <w:snapToGrid w:val="0"/>
              <w:spacing w:before="0" w:beforeAutospacing="0" w:after="0" w:afterAutospacing="0" w:line="288" w:lineRule="auto"/>
              <w:ind w:left="0" w:right="0"/>
              <w:jc w:val="center"/>
              <w:rPr>
                <w:rFonts w:hint="default" w:ascii="宋体" w:hAnsi="宋体" w:cs="宋体"/>
                <w:color w:val="auto"/>
                <w:sz w:val="21"/>
                <w:szCs w:val="21"/>
                <w:highlight w:val="none"/>
              </w:rPr>
            </w:pPr>
          </w:p>
        </w:tc>
        <w:tc>
          <w:tcPr>
            <w:tcW w:w="663" w:type="dxa"/>
            <w:vAlign w:val="center"/>
          </w:tcPr>
          <w:p w14:paraId="6392FEE1">
            <w:pPr>
              <w:keepNext w:val="0"/>
              <w:keepLines w:val="0"/>
              <w:suppressLineNumbers w:val="0"/>
              <w:spacing w:before="0" w:beforeAutospacing="0" w:after="0" w:afterAutospacing="0"/>
              <w:ind w:left="0" w:right="0"/>
              <w:jc w:val="center"/>
              <w:textAlignment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2</w:t>
            </w:r>
          </w:p>
        </w:tc>
        <w:tc>
          <w:tcPr>
            <w:tcW w:w="7034" w:type="dxa"/>
            <w:vAlign w:val="center"/>
          </w:tcPr>
          <w:p w14:paraId="251A1BF7">
            <w:pPr>
              <w:keepNext w:val="0"/>
              <w:keepLines w:val="0"/>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根据投标银行税收增长率排名进行评分。排名第一得</w:t>
            </w:r>
            <w:r>
              <w:rPr>
                <w:rFonts w:hint="default" w:ascii="宋体" w:hAnsi="宋体" w:cs="宋体"/>
                <w:color w:val="auto"/>
                <w:kern w:val="0"/>
                <w:sz w:val="21"/>
                <w:szCs w:val="21"/>
                <w:highlight w:val="none"/>
              </w:rPr>
              <w:t>2</w:t>
            </w:r>
            <w:r>
              <w:rPr>
                <w:rFonts w:hint="eastAsia" w:ascii="宋体" w:hAnsi="宋体" w:cs="宋体"/>
                <w:color w:val="auto"/>
                <w:kern w:val="0"/>
                <w:sz w:val="21"/>
                <w:szCs w:val="21"/>
                <w:highlight w:val="none"/>
              </w:rPr>
              <w:t>分，其余投标银行排名每降低一名相应递减0.0</w:t>
            </w:r>
            <w:r>
              <w:rPr>
                <w:rFonts w:hint="default" w:ascii="宋体" w:hAnsi="宋体" w:cs="宋体"/>
                <w:color w:val="auto"/>
                <w:kern w:val="0"/>
                <w:sz w:val="21"/>
                <w:szCs w:val="21"/>
                <w:highlight w:val="none"/>
              </w:rPr>
              <w:t>2</w:t>
            </w:r>
            <w:r>
              <w:rPr>
                <w:rFonts w:hint="eastAsia" w:ascii="宋体" w:hAnsi="宋体" w:cs="宋体"/>
                <w:color w:val="auto"/>
                <w:kern w:val="0"/>
                <w:sz w:val="21"/>
                <w:szCs w:val="21"/>
                <w:highlight w:val="none"/>
              </w:rPr>
              <w:t>分，减完为止。</w:t>
            </w:r>
          </w:p>
        </w:tc>
      </w:tr>
    </w:tbl>
    <w:p w14:paraId="0B2D6618">
      <w:pPr>
        <w:spacing w:line="360" w:lineRule="auto"/>
        <w:jc w:val="center"/>
        <w:outlineLvl w:val="0"/>
        <w:rPr>
          <w:rFonts w:hint="eastAsia" w:ascii="宋体" w:hAnsi="宋体" w:eastAsia="宋体" w:cs="宋体"/>
          <w:b/>
          <w:sz w:val="21"/>
          <w:szCs w:val="21"/>
          <w:highlight w:val="none"/>
        </w:rPr>
      </w:pPr>
      <w:r>
        <w:rPr>
          <w:rFonts w:hint="eastAsia" w:ascii="宋体" w:hAnsi="宋体" w:eastAsia="宋体" w:cs="宋体"/>
          <w:b/>
          <w:bCs/>
          <w:spacing w:val="-6"/>
          <w:sz w:val="32"/>
          <w:szCs w:val="32"/>
          <w:highlight w:val="none"/>
        </w:rPr>
        <w:br w:type="page"/>
      </w:r>
      <w:r>
        <w:rPr>
          <w:rFonts w:hint="eastAsia" w:ascii="宋体" w:hAnsi="宋体" w:eastAsia="宋体" w:cs="宋体"/>
          <w:b/>
          <w:bCs/>
          <w:spacing w:val="-6"/>
          <w:sz w:val="32"/>
          <w:szCs w:val="32"/>
          <w:highlight w:val="none"/>
        </w:rPr>
        <w:t>第五章  拟签订的协议文本</w:t>
      </w:r>
    </w:p>
    <w:p w14:paraId="33519062">
      <w:pPr>
        <w:spacing w:line="360" w:lineRule="auto"/>
        <w:jc w:val="center"/>
        <w:rPr>
          <w:rFonts w:hint="eastAsia" w:ascii="宋体" w:hAnsi="宋体" w:eastAsia="宋体" w:cs="宋体"/>
          <w:b/>
          <w:sz w:val="24"/>
          <w:highlight w:val="none"/>
        </w:rPr>
      </w:pPr>
      <w:r>
        <w:rPr>
          <w:rFonts w:hint="eastAsia" w:ascii="宋体" w:hAnsi="宋体" w:cs="宋体"/>
          <w:b/>
          <w:sz w:val="24"/>
          <w:highlight w:val="none"/>
          <w:lang w:eastAsia="zh-CN"/>
        </w:rPr>
        <w:t>浙江经贸职业技术学院202</w:t>
      </w:r>
      <w:r>
        <w:rPr>
          <w:rFonts w:hint="eastAsia" w:ascii="宋体" w:hAnsi="宋体" w:cs="宋体"/>
          <w:b/>
          <w:sz w:val="24"/>
          <w:highlight w:val="none"/>
          <w:lang w:val="en-US" w:eastAsia="zh-CN"/>
        </w:rPr>
        <w:t>6</w:t>
      </w:r>
      <w:r>
        <w:rPr>
          <w:rFonts w:hint="eastAsia" w:ascii="宋体" w:hAnsi="宋体" w:cs="宋体"/>
          <w:b/>
          <w:sz w:val="24"/>
          <w:highlight w:val="none"/>
          <w:lang w:eastAsia="zh-CN"/>
        </w:rPr>
        <w:t>年第一期公款竞争性存放</w:t>
      </w:r>
      <w:r>
        <w:rPr>
          <w:rFonts w:hint="eastAsia" w:ascii="宋体" w:hAnsi="宋体" w:cs="宋体"/>
          <w:b/>
          <w:sz w:val="24"/>
          <w:highlight w:val="none"/>
          <w:lang w:val="en-US" w:eastAsia="zh-CN"/>
        </w:rPr>
        <w:t>招标</w:t>
      </w:r>
      <w:r>
        <w:rPr>
          <w:rFonts w:hint="eastAsia" w:ascii="宋体" w:hAnsi="宋体" w:eastAsia="宋体" w:cs="宋体"/>
          <w:b/>
          <w:sz w:val="24"/>
          <w:highlight w:val="none"/>
        </w:rPr>
        <w:t>协议书</w:t>
      </w:r>
    </w:p>
    <w:p w14:paraId="38D79914">
      <w:pPr>
        <w:spacing w:line="360" w:lineRule="auto"/>
        <w:ind w:firstLine="495"/>
        <w:rPr>
          <w:rFonts w:hint="eastAsia" w:ascii="宋体" w:hAnsi="宋体" w:eastAsia="宋体" w:cs="宋体"/>
          <w:spacing w:val="-6"/>
          <w:sz w:val="21"/>
          <w:szCs w:val="21"/>
          <w:highlight w:val="none"/>
          <w:lang w:eastAsia="zh-CN"/>
        </w:rPr>
      </w:pPr>
      <w:r>
        <w:rPr>
          <w:rFonts w:hint="eastAsia" w:ascii="宋体" w:hAnsi="宋体" w:eastAsia="宋体" w:cs="宋体"/>
          <w:spacing w:val="-6"/>
          <w:sz w:val="21"/>
          <w:szCs w:val="21"/>
          <w:highlight w:val="none"/>
        </w:rPr>
        <w:t>甲方：</w:t>
      </w:r>
      <w:r>
        <w:rPr>
          <w:rFonts w:hint="eastAsia" w:ascii="宋体" w:hAnsi="宋体" w:eastAsia="宋体" w:cs="宋体"/>
          <w:spacing w:val="-6"/>
          <w:sz w:val="21"/>
          <w:szCs w:val="21"/>
          <w:highlight w:val="none"/>
          <w:lang w:eastAsia="zh-CN"/>
        </w:rPr>
        <w:t>浙江经贸职业技术学院</w:t>
      </w:r>
    </w:p>
    <w:p w14:paraId="612BC933">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乙方：</w:t>
      </w:r>
    </w:p>
    <w:p w14:paraId="0ED401E7">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经招标代理机构“</w:t>
      </w:r>
      <w:r>
        <w:rPr>
          <w:rFonts w:hint="eastAsia" w:ascii="宋体" w:hAnsi="宋体" w:cs="宋体"/>
          <w:spacing w:val="-6"/>
          <w:sz w:val="21"/>
          <w:szCs w:val="21"/>
          <w:highlight w:val="none"/>
          <w:lang w:eastAsia="zh-CN"/>
        </w:rPr>
        <w:t>浙江致信招标代理有限公司</w:t>
      </w:r>
      <w:r>
        <w:rPr>
          <w:rFonts w:hint="eastAsia" w:ascii="宋体" w:hAnsi="宋体" w:eastAsia="宋体" w:cs="宋体"/>
          <w:spacing w:val="-6"/>
          <w:sz w:val="21"/>
          <w:szCs w:val="21"/>
          <w:highlight w:val="none"/>
        </w:rPr>
        <w:t>”通过公款竞争性存放方式（招标项目编号：</w:t>
      </w:r>
      <w:r>
        <w:rPr>
          <w:rFonts w:hint="eastAsia" w:ascii="宋体" w:hAnsi="宋体" w:cs="宋体"/>
          <w:spacing w:val="-6"/>
          <w:sz w:val="21"/>
          <w:szCs w:val="21"/>
          <w:highlight w:val="none"/>
          <w:lang w:val="en-US" w:eastAsia="zh-CN"/>
        </w:rPr>
        <w:t xml:space="preserve">  </w:t>
      </w:r>
      <w:r>
        <w:rPr>
          <w:rFonts w:hint="eastAsia" w:ascii="宋体" w:hAnsi="宋体" w:eastAsia="宋体" w:cs="宋体"/>
          <w:spacing w:val="-6"/>
          <w:sz w:val="21"/>
          <w:szCs w:val="21"/>
          <w:highlight w:val="none"/>
        </w:rPr>
        <w:t>），确定</w:t>
      </w:r>
      <w:r>
        <w:rPr>
          <w:rFonts w:hint="eastAsia" w:ascii="宋体" w:hAnsi="宋体" w:eastAsia="宋体" w:cs="宋体"/>
          <w:spacing w:val="-6"/>
          <w:sz w:val="21"/>
          <w:szCs w:val="21"/>
          <w:highlight w:val="none"/>
          <w:u w:val="single"/>
        </w:rPr>
        <w:t xml:space="preserve">                 为</w:t>
      </w:r>
      <w:r>
        <w:rPr>
          <w:rFonts w:hint="eastAsia" w:ascii="宋体" w:hAnsi="宋体" w:eastAsia="宋体" w:cs="宋体"/>
          <w:spacing w:val="-6"/>
          <w:sz w:val="21"/>
          <w:szCs w:val="21"/>
          <w:highlight w:val="none"/>
        </w:rPr>
        <w:t>中标银行，甲、乙双方友好协商，达成以下条款：</w:t>
      </w:r>
    </w:p>
    <w:p w14:paraId="0EE65CFE">
      <w:pPr>
        <w:spacing w:line="360" w:lineRule="auto"/>
        <w:ind w:firstLine="495"/>
        <w:rPr>
          <w:rFonts w:hint="eastAsia" w:ascii="宋体" w:hAnsi="宋体" w:eastAsia="宋体" w:cs="宋体"/>
          <w:b/>
          <w:spacing w:val="-6"/>
          <w:sz w:val="21"/>
          <w:szCs w:val="21"/>
          <w:highlight w:val="none"/>
        </w:rPr>
      </w:pPr>
      <w:r>
        <w:rPr>
          <w:rFonts w:hint="eastAsia" w:ascii="宋体" w:hAnsi="宋体" w:eastAsia="宋体" w:cs="宋体"/>
          <w:b/>
          <w:spacing w:val="-6"/>
          <w:sz w:val="21"/>
          <w:szCs w:val="21"/>
          <w:highlight w:val="none"/>
        </w:rPr>
        <w:t>一、总则</w:t>
      </w:r>
    </w:p>
    <w:p w14:paraId="1F5EA9FD">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第一条 根据相关法律法规和</w:t>
      </w:r>
      <w:r>
        <w:rPr>
          <w:rFonts w:hint="eastAsia" w:ascii="宋体" w:hAnsi="宋体" w:eastAsia="宋体" w:cs="宋体"/>
          <w:spacing w:val="-6"/>
          <w:sz w:val="21"/>
          <w:szCs w:val="21"/>
          <w:highlight w:val="none"/>
          <w:lang w:eastAsia="zh-CN"/>
        </w:rPr>
        <w:t>浙江经贸职业技术学院</w:t>
      </w:r>
      <w:r>
        <w:rPr>
          <w:rFonts w:hint="eastAsia" w:ascii="宋体" w:hAnsi="宋体" w:eastAsia="宋体" w:cs="宋体"/>
          <w:spacing w:val="-6"/>
          <w:sz w:val="21"/>
          <w:szCs w:val="21"/>
          <w:highlight w:val="none"/>
        </w:rPr>
        <w:t>关于公款存放等相关规定，经甲、乙双方平等协商，签订本协议。</w:t>
      </w:r>
    </w:p>
    <w:p w14:paraId="64EF8E7F">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 xml:space="preserve">第二条 </w:t>
      </w:r>
      <w:r>
        <w:rPr>
          <w:rFonts w:hint="eastAsia" w:ascii="宋体" w:hAnsi="宋体" w:eastAsia="宋体" w:cs="宋体"/>
          <w:spacing w:val="-6"/>
          <w:sz w:val="21"/>
          <w:szCs w:val="21"/>
          <w:highlight w:val="none"/>
          <w:lang w:eastAsia="zh-CN"/>
        </w:rPr>
        <w:t>浙江经贸职业技术学院</w:t>
      </w:r>
      <w:r>
        <w:rPr>
          <w:rFonts w:hint="eastAsia" w:ascii="宋体" w:hAnsi="宋体" w:eastAsia="宋体" w:cs="宋体"/>
          <w:spacing w:val="-6"/>
          <w:sz w:val="21"/>
          <w:szCs w:val="21"/>
          <w:highlight w:val="none"/>
        </w:rPr>
        <w:t>通过公开招标方式择优确定</w:t>
      </w:r>
      <w:r>
        <w:rPr>
          <w:rFonts w:hint="eastAsia" w:ascii="宋体" w:hAnsi="宋体" w:eastAsia="宋体" w:cs="宋体"/>
          <w:spacing w:val="-6"/>
          <w:sz w:val="21"/>
          <w:szCs w:val="21"/>
          <w:highlight w:val="none"/>
          <w:lang w:eastAsia="zh-CN"/>
        </w:rPr>
        <w:t>浙江经贸职业技术学院</w:t>
      </w:r>
      <w:r>
        <w:rPr>
          <w:rFonts w:hint="eastAsia" w:ascii="宋体" w:hAnsi="宋体" w:eastAsia="宋体" w:cs="宋体"/>
          <w:spacing w:val="-6"/>
          <w:sz w:val="21"/>
          <w:szCs w:val="21"/>
          <w:highlight w:val="none"/>
        </w:rPr>
        <w:t>公款存放的定期存款银行，其定期存款有关的资金管理、本息收回等活动适用本协议。</w:t>
      </w:r>
    </w:p>
    <w:p w14:paraId="2FA399F8">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第三条 经招投标确定，甲方在乙方开立定期存款账户，存入</w:t>
      </w:r>
      <w:r>
        <w:rPr>
          <w:rFonts w:hint="eastAsia" w:ascii="宋体" w:hAnsi="宋体" w:eastAsia="宋体" w:cs="宋体"/>
          <w:spacing w:val="-6"/>
          <w:sz w:val="21"/>
          <w:szCs w:val="21"/>
          <w:highlight w:val="none"/>
          <w:lang w:eastAsia="zh-CN"/>
        </w:rPr>
        <w:t>202</w:t>
      </w:r>
      <w:r>
        <w:rPr>
          <w:rFonts w:hint="eastAsia" w:ascii="宋体" w:hAnsi="宋体" w:cs="宋体"/>
          <w:spacing w:val="-6"/>
          <w:sz w:val="21"/>
          <w:szCs w:val="21"/>
          <w:highlight w:val="none"/>
          <w:lang w:val="en-US" w:eastAsia="zh-CN"/>
        </w:rPr>
        <w:t>6</w:t>
      </w:r>
      <w:r>
        <w:rPr>
          <w:rFonts w:hint="eastAsia" w:ascii="宋体" w:hAnsi="宋体" w:eastAsia="宋体" w:cs="宋体"/>
          <w:spacing w:val="-6"/>
          <w:sz w:val="21"/>
          <w:szCs w:val="21"/>
          <w:highlight w:val="none"/>
          <w:lang w:eastAsia="zh-CN"/>
        </w:rPr>
        <w:t>年</w:t>
      </w:r>
      <w:r>
        <w:rPr>
          <w:rFonts w:hint="eastAsia" w:ascii="宋体" w:hAnsi="宋体" w:eastAsia="宋体" w:cs="宋体"/>
          <w:spacing w:val="-6"/>
          <w:sz w:val="21"/>
          <w:szCs w:val="21"/>
          <w:highlight w:val="none"/>
        </w:rPr>
        <w:t>第</w:t>
      </w:r>
      <w:r>
        <w:rPr>
          <w:rFonts w:hint="eastAsia" w:ascii="宋体" w:hAnsi="宋体" w:cs="宋体"/>
          <w:spacing w:val="-6"/>
          <w:sz w:val="21"/>
          <w:szCs w:val="21"/>
          <w:highlight w:val="none"/>
          <w:lang w:val="en-US" w:eastAsia="zh-CN"/>
        </w:rPr>
        <w:t>一</w:t>
      </w:r>
      <w:r>
        <w:rPr>
          <w:rFonts w:hint="eastAsia" w:ascii="宋体" w:hAnsi="宋体" w:eastAsia="宋体" w:cs="宋体"/>
          <w:spacing w:val="-6"/>
          <w:sz w:val="21"/>
          <w:szCs w:val="21"/>
          <w:highlight w:val="none"/>
        </w:rPr>
        <w:t>期存款</w:t>
      </w:r>
      <w:r>
        <w:rPr>
          <w:rFonts w:hint="eastAsia" w:ascii="宋体" w:hAnsi="宋体" w:eastAsia="宋体" w:cs="宋体"/>
          <w:spacing w:val="-6"/>
          <w:sz w:val="21"/>
          <w:szCs w:val="21"/>
          <w:highlight w:val="none"/>
          <w:u w:val="single"/>
        </w:rPr>
        <w:t xml:space="preserve">       万</w:t>
      </w:r>
      <w:r>
        <w:rPr>
          <w:rFonts w:hint="eastAsia" w:ascii="宋体" w:hAnsi="宋体" w:eastAsia="宋体" w:cs="宋体"/>
          <w:spacing w:val="-6"/>
          <w:sz w:val="21"/>
          <w:szCs w:val="21"/>
          <w:highlight w:val="none"/>
        </w:rPr>
        <w:t>元，定期存款年利率</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%。甲、乙双方协商指定办理定期存款的分支机构为：</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w:t>
      </w:r>
    </w:p>
    <w:p w14:paraId="27904A00">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第四条 定期存入时间由甲方按中标银行排序依次通知，甲方于存入日前至少提前2个工作日通知乙方办理定期存款相关事项。</w:t>
      </w:r>
    </w:p>
    <w:p w14:paraId="7D17F9E3">
      <w:pPr>
        <w:spacing w:line="360" w:lineRule="auto"/>
        <w:ind w:firstLine="495"/>
        <w:rPr>
          <w:rFonts w:hint="eastAsia" w:ascii="宋体" w:hAnsi="宋体" w:eastAsia="宋体" w:cs="宋体"/>
          <w:b/>
          <w:spacing w:val="-6"/>
          <w:sz w:val="21"/>
          <w:szCs w:val="21"/>
          <w:highlight w:val="none"/>
        </w:rPr>
      </w:pPr>
      <w:r>
        <w:rPr>
          <w:rFonts w:hint="eastAsia" w:ascii="宋体" w:hAnsi="宋体" w:eastAsia="宋体" w:cs="宋体"/>
          <w:b/>
          <w:spacing w:val="-6"/>
          <w:sz w:val="21"/>
          <w:szCs w:val="21"/>
          <w:highlight w:val="none"/>
        </w:rPr>
        <w:t>二、甲方权利与义务</w:t>
      </w:r>
    </w:p>
    <w:p w14:paraId="51D7F48A">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（一）甲方权利主要包括：</w:t>
      </w:r>
    </w:p>
    <w:p w14:paraId="458AF76E">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1.组织开展</w:t>
      </w:r>
      <w:r>
        <w:rPr>
          <w:rFonts w:hint="eastAsia" w:ascii="宋体" w:hAnsi="宋体" w:eastAsia="宋体" w:cs="宋体"/>
          <w:spacing w:val="-6"/>
          <w:sz w:val="21"/>
          <w:szCs w:val="21"/>
          <w:highlight w:val="none"/>
          <w:lang w:eastAsia="zh-CN"/>
        </w:rPr>
        <w:t>浙江经贸职业技术学院</w:t>
      </w:r>
      <w:r>
        <w:rPr>
          <w:rFonts w:hint="eastAsia" w:ascii="宋体" w:hAnsi="宋体" w:eastAsia="宋体" w:cs="宋体"/>
          <w:spacing w:val="-6"/>
          <w:sz w:val="21"/>
          <w:szCs w:val="21"/>
          <w:highlight w:val="none"/>
        </w:rPr>
        <w:t>公款存放工作；</w:t>
      </w:r>
    </w:p>
    <w:p w14:paraId="0C48FDB8">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2.要求乙方提供存款证明；</w:t>
      </w:r>
    </w:p>
    <w:p w14:paraId="02587093">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3.对乙方</w:t>
      </w:r>
      <w:r>
        <w:rPr>
          <w:rFonts w:hint="eastAsia" w:ascii="宋体" w:hAnsi="宋体" w:eastAsia="宋体" w:cs="宋体"/>
          <w:spacing w:val="-6"/>
          <w:sz w:val="21"/>
          <w:szCs w:val="21"/>
          <w:highlight w:val="none"/>
          <w:lang w:eastAsia="zh-CN"/>
        </w:rPr>
        <w:t>浙江经贸职业技术学院</w:t>
      </w:r>
      <w:r>
        <w:rPr>
          <w:rFonts w:hint="eastAsia" w:ascii="宋体" w:hAnsi="宋体" w:eastAsia="宋体" w:cs="宋体"/>
          <w:spacing w:val="-6"/>
          <w:sz w:val="21"/>
          <w:szCs w:val="21"/>
          <w:highlight w:val="none"/>
        </w:rPr>
        <w:t>定期存款业务实施监督管理。</w:t>
      </w:r>
    </w:p>
    <w:p w14:paraId="3A59A2C5">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（二）甲方义务主要包括：</w:t>
      </w:r>
    </w:p>
    <w:p w14:paraId="35AC4A38">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按规定签发划拨定期存款资金的指令。</w:t>
      </w:r>
    </w:p>
    <w:p w14:paraId="6D56A333">
      <w:pPr>
        <w:spacing w:line="360" w:lineRule="auto"/>
        <w:ind w:firstLine="495"/>
        <w:rPr>
          <w:rFonts w:hint="eastAsia" w:ascii="宋体" w:hAnsi="宋体" w:eastAsia="宋体" w:cs="宋体"/>
          <w:b/>
          <w:spacing w:val="-6"/>
          <w:sz w:val="21"/>
          <w:szCs w:val="21"/>
          <w:highlight w:val="none"/>
        </w:rPr>
      </w:pPr>
      <w:r>
        <w:rPr>
          <w:rFonts w:hint="eastAsia" w:ascii="宋体" w:hAnsi="宋体" w:eastAsia="宋体" w:cs="宋体"/>
          <w:b/>
          <w:spacing w:val="-6"/>
          <w:sz w:val="21"/>
          <w:szCs w:val="21"/>
          <w:highlight w:val="none"/>
        </w:rPr>
        <w:t>三、乙方权利与义务</w:t>
      </w:r>
    </w:p>
    <w:p w14:paraId="1509BD05">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（一）乙方权利主要包括：</w:t>
      </w:r>
    </w:p>
    <w:p w14:paraId="275FA096">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1.参与甲方组织的</w:t>
      </w:r>
      <w:r>
        <w:rPr>
          <w:rFonts w:hint="eastAsia" w:ascii="宋体" w:hAnsi="宋体" w:eastAsia="宋体" w:cs="宋体"/>
          <w:spacing w:val="-6"/>
          <w:sz w:val="21"/>
          <w:szCs w:val="21"/>
          <w:highlight w:val="none"/>
          <w:lang w:eastAsia="zh-CN"/>
        </w:rPr>
        <w:t>浙江经贸职业技术学院</w:t>
      </w:r>
      <w:r>
        <w:rPr>
          <w:rFonts w:hint="eastAsia" w:ascii="宋体" w:hAnsi="宋体" w:eastAsia="宋体" w:cs="宋体"/>
          <w:spacing w:val="-6"/>
          <w:sz w:val="21"/>
          <w:szCs w:val="21"/>
          <w:highlight w:val="none"/>
        </w:rPr>
        <w:t>公款存放工作；</w:t>
      </w:r>
    </w:p>
    <w:p w14:paraId="02EE49EF">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2.按规定金额存放甲方定期存款。</w:t>
      </w:r>
    </w:p>
    <w:p w14:paraId="023BAFFD">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（二）乙方义务主要包括：</w:t>
      </w:r>
    </w:p>
    <w:p w14:paraId="20DBF7ED">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1.按规定办理甲方定期存款存放手续；</w:t>
      </w:r>
    </w:p>
    <w:p w14:paraId="520587D2">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2.向甲方提供存款证明；</w:t>
      </w:r>
    </w:p>
    <w:p w14:paraId="277C2257">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3.存款到期及时足额缴清甲方存款本息；</w:t>
      </w:r>
    </w:p>
    <w:p w14:paraId="1932F0A1">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4.确保甲方定期存款存续期间的资金安全；</w:t>
      </w:r>
    </w:p>
    <w:p w14:paraId="1BCEFDD7">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5.接受甲方对定期存款业务的监督管理；</w:t>
      </w:r>
    </w:p>
    <w:p w14:paraId="711D24CA">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6.乙方应确定固定部门及经办人员负责甲方公款存放业务，并向</w:t>
      </w:r>
      <w:r>
        <w:rPr>
          <w:rFonts w:hint="eastAsia" w:ascii="宋体" w:hAnsi="宋体" w:eastAsia="宋体" w:cs="宋体"/>
          <w:spacing w:val="-6"/>
          <w:sz w:val="21"/>
          <w:szCs w:val="21"/>
          <w:highlight w:val="none"/>
          <w:lang w:eastAsia="zh-CN"/>
        </w:rPr>
        <w:t>浙江经贸职业技术学院</w:t>
      </w:r>
      <w:r>
        <w:rPr>
          <w:rFonts w:hint="eastAsia" w:ascii="宋体" w:hAnsi="宋体" w:eastAsia="宋体" w:cs="宋体"/>
          <w:spacing w:val="-6"/>
          <w:sz w:val="21"/>
          <w:szCs w:val="21"/>
          <w:highlight w:val="none"/>
        </w:rPr>
        <w:t>财务部门报备业务部门、部门负责人、具体业务人员及联系方式。如有变更，应于变更后2个工作日内书面告知</w:t>
      </w:r>
      <w:r>
        <w:rPr>
          <w:rFonts w:hint="eastAsia" w:ascii="宋体" w:hAnsi="宋体" w:eastAsia="宋体" w:cs="宋体"/>
          <w:spacing w:val="-6"/>
          <w:sz w:val="21"/>
          <w:szCs w:val="21"/>
          <w:highlight w:val="none"/>
          <w:lang w:eastAsia="zh-CN"/>
        </w:rPr>
        <w:t>浙江经贸职业技术学院</w:t>
      </w:r>
      <w:r>
        <w:rPr>
          <w:rFonts w:hint="eastAsia" w:ascii="宋体" w:hAnsi="宋体" w:eastAsia="宋体" w:cs="宋体"/>
          <w:spacing w:val="-6"/>
          <w:sz w:val="21"/>
          <w:szCs w:val="21"/>
          <w:highlight w:val="none"/>
        </w:rPr>
        <w:t>财务部门。</w:t>
      </w:r>
    </w:p>
    <w:p w14:paraId="22C8BBB3">
      <w:pPr>
        <w:spacing w:line="360" w:lineRule="auto"/>
        <w:ind w:firstLine="495"/>
        <w:rPr>
          <w:rFonts w:hint="eastAsia" w:ascii="宋体" w:hAnsi="宋体" w:eastAsia="宋体" w:cs="宋体"/>
          <w:b/>
          <w:spacing w:val="-6"/>
          <w:sz w:val="21"/>
          <w:szCs w:val="21"/>
          <w:highlight w:val="none"/>
        </w:rPr>
      </w:pPr>
      <w:r>
        <w:rPr>
          <w:rFonts w:hint="eastAsia" w:ascii="宋体" w:hAnsi="宋体" w:eastAsia="宋体" w:cs="宋体"/>
          <w:b/>
          <w:spacing w:val="-6"/>
          <w:sz w:val="21"/>
          <w:szCs w:val="21"/>
          <w:highlight w:val="none"/>
        </w:rPr>
        <w:t>四、违约责任</w:t>
      </w:r>
    </w:p>
    <w:p w14:paraId="4E0F98FC">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除发生不可抗力外，违约责任按以下条款执行：</w:t>
      </w:r>
    </w:p>
    <w:p w14:paraId="21AC3467">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1.甲方未及时签发划款指令，造成乙方滞划存款资金，甲方应按未划拨资金额，以当期存款协议中定期存款利率的两倍折成日利率，按日向乙方支付违约金；</w:t>
      </w:r>
    </w:p>
    <w:p w14:paraId="2500FB3C">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2.乙方未及时向甲方缴清到期存款本息的，应以当期存款协议中定期存款利率的两倍折成日利率，按日向甲方支付违约金；</w:t>
      </w:r>
    </w:p>
    <w:p w14:paraId="213382B1">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3.乙方有下列情形之一的，甲方有权提前收回定期存款，并取消乙方在以后各期的公款存放投标资格：</w:t>
      </w:r>
    </w:p>
    <w:p w14:paraId="6439448D">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（一）出现资金安全事故、重大违法违规情况或财务状况恶化的；</w:t>
      </w:r>
    </w:p>
    <w:p w14:paraId="7EBFFE2B">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（二）监管评级降低后低于人民银行上年度综合评价B级，监管部门认为存在较大运营风险的；</w:t>
      </w:r>
    </w:p>
    <w:p w14:paraId="545D3AD2">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（三）进行不正当投标的；</w:t>
      </w:r>
    </w:p>
    <w:p w14:paraId="53053C1A">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（四）没有按照中标协议承诺履行相应的责任和义务的；</w:t>
      </w:r>
    </w:p>
    <w:p w14:paraId="63F7B7AF">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（五）不能按规定将到期存款本息足额缴入单位账户的；</w:t>
      </w:r>
    </w:p>
    <w:p w14:paraId="18164653">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（六）存在其他妨害资金安全行为的。</w:t>
      </w:r>
    </w:p>
    <w:p w14:paraId="65C25177">
      <w:pPr>
        <w:spacing w:line="360" w:lineRule="auto"/>
        <w:ind w:firstLine="495"/>
        <w:rPr>
          <w:rFonts w:hint="eastAsia" w:ascii="宋体" w:hAnsi="宋体" w:eastAsia="宋体" w:cs="宋体"/>
          <w:b/>
          <w:spacing w:val="-6"/>
          <w:sz w:val="21"/>
          <w:szCs w:val="21"/>
          <w:highlight w:val="none"/>
        </w:rPr>
      </w:pPr>
      <w:r>
        <w:rPr>
          <w:rFonts w:hint="eastAsia" w:ascii="宋体" w:hAnsi="宋体" w:eastAsia="宋体" w:cs="宋体"/>
          <w:b/>
          <w:spacing w:val="-6"/>
          <w:sz w:val="21"/>
          <w:szCs w:val="21"/>
          <w:highlight w:val="none"/>
        </w:rPr>
        <w:t>五、提前支取</w:t>
      </w:r>
    </w:p>
    <w:p w14:paraId="2531B731">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经与乙方协商，甲方有权在到期日前提前支取定期存款，甲方至少应在2个工作日前通知乙方，提前支取定期存款计息方案：按投标文件执行。</w:t>
      </w:r>
    </w:p>
    <w:p w14:paraId="5FF5590A">
      <w:pPr>
        <w:spacing w:line="360" w:lineRule="auto"/>
        <w:ind w:firstLine="495"/>
        <w:rPr>
          <w:rFonts w:hint="eastAsia" w:ascii="宋体" w:hAnsi="宋体" w:eastAsia="宋体" w:cs="宋体"/>
          <w:b/>
          <w:spacing w:val="-6"/>
          <w:sz w:val="21"/>
          <w:szCs w:val="21"/>
          <w:highlight w:val="none"/>
        </w:rPr>
      </w:pPr>
      <w:r>
        <w:rPr>
          <w:rFonts w:hint="eastAsia" w:ascii="宋体" w:hAnsi="宋体" w:eastAsia="宋体" w:cs="宋体"/>
          <w:b/>
          <w:spacing w:val="-6"/>
          <w:sz w:val="21"/>
          <w:szCs w:val="21"/>
          <w:highlight w:val="none"/>
        </w:rPr>
        <w:t>六、协议期限</w:t>
      </w:r>
    </w:p>
    <w:p w14:paraId="7F76CFE0">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本协议期限自</w:t>
      </w:r>
      <w:r>
        <w:rPr>
          <w:rFonts w:hint="eastAsia" w:ascii="宋体" w:hAnsi="宋体" w:eastAsia="宋体" w:cs="宋体"/>
          <w:spacing w:val="-6"/>
          <w:sz w:val="21"/>
          <w:szCs w:val="21"/>
          <w:highlight w:val="none"/>
          <w:u w:val="single"/>
        </w:rPr>
        <w:t>存入之日起1年</w:t>
      </w:r>
      <w:r>
        <w:rPr>
          <w:rFonts w:hint="eastAsia" w:ascii="宋体" w:hAnsi="宋体" w:eastAsia="宋体" w:cs="宋体"/>
          <w:spacing w:val="-6"/>
          <w:sz w:val="21"/>
          <w:szCs w:val="21"/>
          <w:highlight w:val="none"/>
        </w:rPr>
        <w:t>。</w:t>
      </w:r>
    </w:p>
    <w:p w14:paraId="2D22EAAD">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b/>
          <w:spacing w:val="-6"/>
          <w:sz w:val="21"/>
          <w:szCs w:val="21"/>
          <w:highlight w:val="none"/>
        </w:rPr>
        <w:t>七、</w:t>
      </w:r>
      <w:r>
        <w:rPr>
          <w:rFonts w:hint="eastAsia" w:ascii="宋体" w:hAnsi="宋体" w:eastAsia="宋体" w:cs="宋体"/>
          <w:spacing w:val="-6"/>
          <w:sz w:val="21"/>
          <w:szCs w:val="21"/>
          <w:highlight w:val="none"/>
        </w:rPr>
        <w:t>本协议一式伍份，甲方执叁份、乙方与鉴证方各执壹份，具有同等法律效力。执行中如对本协议产生争议，通过协商解决。</w:t>
      </w:r>
    </w:p>
    <w:p w14:paraId="6CEE7372">
      <w:pPr>
        <w:spacing w:line="360" w:lineRule="auto"/>
        <w:ind w:firstLine="495"/>
        <w:rPr>
          <w:rFonts w:hint="eastAsia" w:ascii="宋体" w:hAnsi="宋体" w:eastAsia="宋体" w:cs="宋体"/>
          <w:spacing w:val="-6"/>
          <w:sz w:val="21"/>
          <w:szCs w:val="21"/>
          <w:highlight w:val="none"/>
        </w:rPr>
      </w:pPr>
      <w:r>
        <w:rPr>
          <w:rFonts w:hint="eastAsia" w:ascii="宋体" w:hAnsi="宋体" w:eastAsia="宋体" w:cs="宋体"/>
          <w:b/>
          <w:spacing w:val="-6"/>
          <w:sz w:val="21"/>
          <w:szCs w:val="21"/>
          <w:highlight w:val="none"/>
        </w:rPr>
        <w:t>八、</w:t>
      </w:r>
      <w:r>
        <w:rPr>
          <w:rFonts w:hint="eastAsia" w:ascii="宋体" w:hAnsi="宋体" w:eastAsia="宋体" w:cs="宋体"/>
          <w:spacing w:val="-6"/>
          <w:sz w:val="21"/>
          <w:szCs w:val="21"/>
          <w:highlight w:val="none"/>
        </w:rPr>
        <w:t>相关招标文件、投标文件等与本合同具有同等法律效力。</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82"/>
        <w:gridCol w:w="4517"/>
      </w:tblGrid>
      <w:tr w14:paraId="6029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4282" w:type="dxa"/>
          </w:tcPr>
          <w:p w14:paraId="04E57E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cs="宋体"/>
                <w:color w:val="auto"/>
                <w:sz w:val="21"/>
                <w:szCs w:val="21"/>
                <w:highlight w:val="none"/>
              </w:rPr>
            </w:pPr>
            <w:r>
              <w:rPr>
                <w:rFonts w:hint="eastAsia" w:cs="宋体"/>
                <w:color w:val="auto"/>
                <w:sz w:val="21"/>
                <w:szCs w:val="21"/>
                <w:highlight w:val="none"/>
              </w:rPr>
              <w:t>甲方：（公章）</w:t>
            </w:r>
            <w:r>
              <w:rPr>
                <w:rFonts w:hint="eastAsia" w:cs="宋体"/>
                <w:color w:val="auto"/>
                <w:spacing w:val="-6"/>
                <w:sz w:val="21"/>
                <w:szCs w:val="21"/>
                <w:highlight w:val="none"/>
              </w:rPr>
              <w:t>浙江经贸职业技术学院</w:t>
            </w:r>
          </w:p>
        </w:tc>
        <w:tc>
          <w:tcPr>
            <w:tcW w:w="4517" w:type="dxa"/>
          </w:tcPr>
          <w:p w14:paraId="6C5CE5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cs="宋体"/>
                <w:color w:val="auto"/>
                <w:sz w:val="21"/>
                <w:szCs w:val="21"/>
                <w:highlight w:val="none"/>
              </w:rPr>
            </w:pPr>
            <w:r>
              <w:rPr>
                <w:rFonts w:hint="eastAsia" w:cs="宋体"/>
                <w:color w:val="auto"/>
                <w:sz w:val="21"/>
                <w:szCs w:val="21"/>
                <w:highlight w:val="none"/>
              </w:rPr>
              <w:t>乙方：（公章）</w:t>
            </w:r>
          </w:p>
        </w:tc>
      </w:tr>
      <w:tr w14:paraId="03BD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4282" w:type="dxa"/>
          </w:tcPr>
          <w:p w14:paraId="2631030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cs="宋体"/>
                <w:color w:val="auto"/>
                <w:sz w:val="21"/>
                <w:szCs w:val="21"/>
                <w:highlight w:val="none"/>
              </w:rPr>
            </w:pPr>
            <w:r>
              <w:rPr>
                <w:rFonts w:hint="eastAsia" w:cs="宋体"/>
                <w:color w:val="auto"/>
                <w:sz w:val="21"/>
                <w:szCs w:val="21"/>
                <w:highlight w:val="none"/>
              </w:rPr>
              <w:t>项目建设部门负责人</w:t>
            </w:r>
            <w:r>
              <w:rPr>
                <w:rFonts w:hint="eastAsia" w:cs="宋体"/>
                <w:color w:val="auto"/>
                <w:sz w:val="21"/>
                <w:szCs w:val="21"/>
                <w:highlight w:val="none"/>
                <w:lang w:eastAsia="zh-CN"/>
              </w:rPr>
              <w:t>（</w:t>
            </w:r>
            <w:r>
              <w:rPr>
                <w:rFonts w:hint="eastAsia" w:cs="宋体"/>
                <w:color w:val="auto"/>
                <w:sz w:val="21"/>
                <w:szCs w:val="21"/>
                <w:highlight w:val="none"/>
                <w:lang w:val="en-US" w:eastAsia="zh-CN"/>
              </w:rPr>
              <w:t>签字）</w:t>
            </w:r>
            <w:r>
              <w:rPr>
                <w:rFonts w:hint="eastAsia" w:cs="宋体"/>
                <w:color w:val="auto"/>
                <w:sz w:val="21"/>
                <w:szCs w:val="21"/>
                <w:highlight w:val="none"/>
                <w:lang w:eastAsia="zh-CN"/>
              </w:rPr>
              <w:t>：</w:t>
            </w:r>
          </w:p>
          <w:p w14:paraId="4271ED7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cs="宋体"/>
                <w:color w:val="auto"/>
                <w:sz w:val="21"/>
                <w:szCs w:val="21"/>
                <w:highlight w:val="none"/>
              </w:rPr>
              <w:t>法定代表人</w:t>
            </w:r>
            <w:r>
              <w:rPr>
                <w:rFonts w:hint="eastAsia" w:ascii="宋体" w:hAnsi="宋体" w:eastAsia="宋体" w:cs="宋体"/>
                <w:color w:val="auto"/>
                <w:sz w:val="21"/>
                <w:szCs w:val="21"/>
                <w:highlight w:val="none"/>
              </w:rPr>
              <w:t>或</w:t>
            </w:r>
          </w:p>
          <w:p w14:paraId="14CD621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cs="宋体"/>
                <w:color w:val="auto"/>
                <w:sz w:val="21"/>
                <w:szCs w:val="21"/>
                <w:highlight w:val="none"/>
              </w:rPr>
            </w:pPr>
            <w:r>
              <w:rPr>
                <w:rFonts w:hint="eastAsia" w:ascii="宋体" w:hAnsi="宋体" w:eastAsia="宋体" w:cs="宋体"/>
                <w:color w:val="auto"/>
                <w:sz w:val="21"/>
                <w:szCs w:val="21"/>
                <w:highlight w:val="none"/>
              </w:rPr>
              <w:t>其委托代理人</w:t>
            </w: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签字）</w:t>
            </w:r>
            <w:r>
              <w:rPr>
                <w:rFonts w:hint="eastAsia" w:cs="宋体"/>
                <w:color w:val="auto"/>
                <w:sz w:val="21"/>
                <w:szCs w:val="21"/>
                <w:highlight w:val="none"/>
              </w:rPr>
              <w:t>：</w:t>
            </w:r>
          </w:p>
        </w:tc>
        <w:tc>
          <w:tcPr>
            <w:tcW w:w="4517" w:type="dxa"/>
          </w:tcPr>
          <w:p w14:paraId="254B36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lang w:val="en-US" w:eastAsia="zh-CN"/>
              </w:rPr>
              <w:t>或</w:t>
            </w:r>
            <w:r>
              <w:rPr>
                <w:rFonts w:hint="eastAsia" w:ascii="宋体" w:hAnsi="宋体" w:eastAsia="宋体" w:cs="宋体"/>
                <w:color w:val="auto"/>
                <w:sz w:val="21"/>
                <w:szCs w:val="21"/>
                <w:highlight w:val="none"/>
              </w:rPr>
              <w:t>其委托代理人</w:t>
            </w: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签字）</w:t>
            </w:r>
            <w:r>
              <w:rPr>
                <w:rFonts w:hint="eastAsia" w:cs="宋体"/>
                <w:color w:val="auto"/>
                <w:sz w:val="21"/>
                <w:szCs w:val="21"/>
                <w:highlight w:val="none"/>
              </w:rPr>
              <w:t>：</w:t>
            </w:r>
          </w:p>
        </w:tc>
      </w:tr>
      <w:tr w14:paraId="2D52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4282" w:type="dxa"/>
          </w:tcPr>
          <w:p w14:paraId="4B7E4E4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cs="宋体"/>
                <w:color w:val="auto"/>
                <w:sz w:val="21"/>
                <w:szCs w:val="21"/>
                <w:highlight w:val="none"/>
              </w:rPr>
            </w:pPr>
            <w:r>
              <w:rPr>
                <w:rFonts w:hint="eastAsia" w:cs="宋体"/>
                <w:color w:val="auto"/>
                <w:sz w:val="21"/>
                <w:szCs w:val="21"/>
                <w:highlight w:val="none"/>
              </w:rPr>
              <w:t>电话：</w:t>
            </w:r>
          </w:p>
        </w:tc>
        <w:tc>
          <w:tcPr>
            <w:tcW w:w="4517" w:type="dxa"/>
          </w:tcPr>
          <w:p w14:paraId="24E3632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cs="宋体"/>
                <w:color w:val="auto"/>
                <w:sz w:val="21"/>
                <w:szCs w:val="21"/>
                <w:highlight w:val="none"/>
              </w:rPr>
            </w:pPr>
            <w:r>
              <w:rPr>
                <w:rFonts w:hint="eastAsia" w:cs="宋体"/>
                <w:color w:val="auto"/>
                <w:sz w:val="21"/>
                <w:szCs w:val="21"/>
                <w:highlight w:val="none"/>
              </w:rPr>
              <w:t>电话：</w:t>
            </w:r>
          </w:p>
        </w:tc>
      </w:tr>
      <w:tr w14:paraId="1E07A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4282" w:type="dxa"/>
          </w:tcPr>
          <w:p w14:paraId="796FE6A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cs="宋体"/>
                <w:color w:val="auto"/>
                <w:sz w:val="21"/>
                <w:szCs w:val="21"/>
                <w:highlight w:val="none"/>
              </w:rPr>
            </w:pPr>
          </w:p>
        </w:tc>
        <w:tc>
          <w:tcPr>
            <w:tcW w:w="4517" w:type="dxa"/>
          </w:tcPr>
          <w:p w14:paraId="715D888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cs="宋体"/>
                <w:color w:val="auto"/>
                <w:sz w:val="21"/>
                <w:szCs w:val="21"/>
                <w:highlight w:val="none"/>
              </w:rPr>
            </w:pPr>
            <w:r>
              <w:rPr>
                <w:rFonts w:hint="eastAsia" w:cs="宋体"/>
                <w:b/>
                <w:bCs/>
                <w:color w:val="auto"/>
                <w:sz w:val="21"/>
                <w:szCs w:val="21"/>
                <w:highlight w:val="none"/>
              </w:rPr>
              <w:t>下述信息合同备案录入浙江省公款竞争性存放网上招标平台（https://gkcf-login.czt.zj.gov.cn），必须填写</w:t>
            </w:r>
          </w:p>
        </w:tc>
      </w:tr>
      <w:tr w14:paraId="39FB6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4282" w:type="dxa"/>
          </w:tcPr>
          <w:p w14:paraId="13A349C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cs="宋体"/>
                <w:color w:val="auto"/>
                <w:sz w:val="21"/>
                <w:szCs w:val="21"/>
                <w:highlight w:val="none"/>
              </w:rPr>
            </w:pPr>
          </w:p>
        </w:tc>
        <w:tc>
          <w:tcPr>
            <w:tcW w:w="4517" w:type="dxa"/>
          </w:tcPr>
          <w:p w14:paraId="0C64F0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cs="宋体"/>
                <w:color w:val="auto"/>
                <w:sz w:val="21"/>
                <w:szCs w:val="21"/>
                <w:highlight w:val="none"/>
              </w:rPr>
            </w:pPr>
            <w:r>
              <w:rPr>
                <w:rFonts w:hint="eastAsia" w:cs="宋体"/>
                <w:color w:val="auto"/>
                <w:sz w:val="21"/>
                <w:szCs w:val="21"/>
                <w:highlight w:val="none"/>
              </w:rPr>
              <w:t>联系人及联系电话：</w:t>
            </w:r>
          </w:p>
        </w:tc>
      </w:tr>
      <w:tr w14:paraId="2F017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4282" w:type="dxa"/>
          </w:tcPr>
          <w:p w14:paraId="3E5ACD7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cs="宋体"/>
                <w:color w:val="auto"/>
                <w:sz w:val="21"/>
                <w:szCs w:val="21"/>
                <w:highlight w:val="none"/>
              </w:rPr>
            </w:pPr>
          </w:p>
        </w:tc>
        <w:tc>
          <w:tcPr>
            <w:tcW w:w="4517" w:type="dxa"/>
          </w:tcPr>
          <w:p w14:paraId="21C9D27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cs="宋体"/>
                <w:color w:val="auto"/>
                <w:sz w:val="21"/>
                <w:szCs w:val="21"/>
                <w:highlight w:val="none"/>
              </w:rPr>
            </w:pPr>
            <w:r>
              <w:rPr>
                <w:rFonts w:hint="eastAsia" w:cs="宋体"/>
                <w:color w:val="auto"/>
                <w:sz w:val="21"/>
                <w:szCs w:val="21"/>
                <w:highlight w:val="none"/>
              </w:rPr>
              <w:t>收款账号：</w:t>
            </w:r>
          </w:p>
        </w:tc>
      </w:tr>
      <w:tr w14:paraId="3D39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4282" w:type="dxa"/>
          </w:tcPr>
          <w:p w14:paraId="28E7B85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cs="宋体"/>
                <w:color w:val="auto"/>
                <w:sz w:val="21"/>
                <w:szCs w:val="21"/>
                <w:highlight w:val="none"/>
              </w:rPr>
            </w:pPr>
          </w:p>
        </w:tc>
        <w:tc>
          <w:tcPr>
            <w:tcW w:w="4517" w:type="dxa"/>
          </w:tcPr>
          <w:p w14:paraId="0052839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cs="宋体"/>
                <w:color w:val="auto"/>
                <w:sz w:val="21"/>
                <w:szCs w:val="21"/>
                <w:highlight w:val="none"/>
              </w:rPr>
            </w:pPr>
            <w:r>
              <w:rPr>
                <w:rFonts w:hint="eastAsia" w:cs="宋体"/>
                <w:color w:val="auto"/>
                <w:sz w:val="21"/>
                <w:szCs w:val="21"/>
                <w:highlight w:val="none"/>
              </w:rPr>
              <w:t>收款开户行：</w:t>
            </w:r>
          </w:p>
        </w:tc>
      </w:tr>
      <w:tr w14:paraId="2265D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4282" w:type="dxa"/>
          </w:tcPr>
          <w:p w14:paraId="153071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cs="宋体"/>
                <w:color w:val="auto"/>
                <w:sz w:val="21"/>
                <w:szCs w:val="21"/>
                <w:highlight w:val="none"/>
              </w:rPr>
            </w:pPr>
            <w:r>
              <w:rPr>
                <w:rFonts w:hint="eastAsia" w:cs="宋体"/>
                <w:color w:val="auto"/>
                <w:sz w:val="21"/>
                <w:szCs w:val="21"/>
                <w:highlight w:val="none"/>
              </w:rPr>
              <w:t>年  月   日</w:t>
            </w:r>
          </w:p>
        </w:tc>
        <w:tc>
          <w:tcPr>
            <w:tcW w:w="4517" w:type="dxa"/>
          </w:tcPr>
          <w:p w14:paraId="1E669E0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cs="宋体"/>
                <w:color w:val="auto"/>
                <w:sz w:val="21"/>
                <w:szCs w:val="21"/>
                <w:highlight w:val="none"/>
              </w:rPr>
            </w:pPr>
            <w:r>
              <w:rPr>
                <w:rFonts w:hint="eastAsia" w:cs="宋体"/>
                <w:color w:val="auto"/>
                <w:sz w:val="21"/>
                <w:szCs w:val="21"/>
                <w:highlight w:val="none"/>
              </w:rPr>
              <w:t>年  月   日</w:t>
            </w:r>
          </w:p>
        </w:tc>
      </w:tr>
    </w:tbl>
    <w:p w14:paraId="610E821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s="宋体"/>
          <w:color w:val="auto"/>
          <w:sz w:val="21"/>
          <w:szCs w:val="21"/>
          <w:highlight w:val="none"/>
        </w:rPr>
      </w:pPr>
      <w:r>
        <w:rPr>
          <w:rFonts w:hint="eastAsia" w:cs="宋体"/>
          <w:color w:val="auto"/>
          <w:sz w:val="21"/>
          <w:szCs w:val="21"/>
          <w:highlight w:val="none"/>
        </w:rPr>
        <w:t>鉴证方（公章）：浙江致信招标代理有限公司</w:t>
      </w:r>
    </w:p>
    <w:p w14:paraId="6606D9A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s="宋体"/>
          <w:color w:val="auto"/>
          <w:sz w:val="21"/>
          <w:szCs w:val="21"/>
          <w:highlight w:val="none"/>
        </w:rPr>
      </w:pPr>
      <w:r>
        <w:rPr>
          <w:rFonts w:hint="eastAsia" w:cs="宋体"/>
          <w:color w:val="auto"/>
          <w:sz w:val="21"/>
          <w:szCs w:val="21"/>
          <w:highlight w:val="none"/>
        </w:rPr>
        <w:t xml:space="preserve">法定代表人或授权委托人： </w:t>
      </w:r>
      <w:bookmarkStart w:id="3" w:name="_Toc16737"/>
    </w:p>
    <w:p w14:paraId="17EF843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s="宋体"/>
          <w:color w:val="auto"/>
          <w:highlight w:val="none"/>
        </w:rPr>
      </w:pPr>
      <w:r>
        <w:rPr>
          <w:rFonts w:hint="eastAsia" w:cs="宋体"/>
          <w:color w:val="auto"/>
          <w:sz w:val="21"/>
          <w:szCs w:val="21"/>
          <w:highlight w:val="none"/>
        </w:rPr>
        <w:t>年  月   日</w:t>
      </w:r>
      <w:bookmarkEnd w:id="3"/>
    </w:p>
    <w:p w14:paraId="12795A65">
      <w:pPr>
        <w:spacing w:line="360" w:lineRule="auto"/>
        <w:ind w:right="28" w:rightChars="10"/>
        <w:jc w:val="center"/>
        <w:outlineLvl w:val="0"/>
        <w:rPr>
          <w:rFonts w:hint="eastAsia" w:ascii="宋体" w:hAnsi="宋体" w:eastAsia="宋体" w:cs="宋体"/>
          <w:spacing w:val="-6"/>
          <w:sz w:val="21"/>
          <w:highlight w:val="none"/>
        </w:rPr>
      </w:pPr>
      <w:r>
        <w:rPr>
          <w:rFonts w:hint="eastAsia" w:ascii="宋体" w:hAnsi="宋体" w:eastAsia="宋体" w:cs="宋体"/>
          <w:b/>
          <w:spacing w:val="-6"/>
          <w:sz w:val="32"/>
          <w:szCs w:val="32"/>
          <w:highlight w:val="none"/>
        </w:rPr>
        <w:br w:type="page"/>
      </w:r>
      <w:r>
        <w:rPr>
          <w:rFonts w:hint="eastAsia" w:ascii="宋体" w:hAnsi="宋体" w:eastAsia="宋体" w:cs="宋体"/>
          <w:b/>
          <w:spacing w:val="-6"/>
          <w:sz w:val="32"/>
          <w:szCs w:val="32"/>
          <w:highlight w:val="none"/>
        </w:rPr>
        <w:t>第六章投标文件格式</w:t>
      </w:r>
    </w:p>
    <w:p w14:paraId="3083D0ED">
      <w:pPr>
        <w:spacing w:line="360" w:lineRule="auto"/>
        <w:rPr>
          <w:rFonts w:hint="eastAsia" w:ascii="宋体" w:hAnsi="宋体" w:eastAsia="宋体" w:cs="宋体"/>
          <w:b/>
          <w:bCs/>
          <w:spacing w:val="-6"/>
          <w:sz w:val="24"/>
          <w:highlight w:val="none"/>
        </w:rPr>
      </w:pPr>
    </w:p>
    <w:p w14:paraId="7CFCB6FA">
      <w:pPr>
        <w:pStyle w:val="12"/>
        <w:spacing w:line="360" w:lineRule="auto"/>
        <w:ind w:firstLine="398" w:firstLineChars="200"/>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投标文件的编制应按照本项目：“第三章  投标人须知”</w:t>
      </w:r>
      <w:r>
        <w:rPr>
          <w:rFonts w:hint="eastAsia" w:ascii="宋体" w:hAnsi="宋体" w:eastAsia="宋体" w:cs="宋体"/>
          <w:b/>
          <w:spacing w:val="-6"/>
          <w:sz w:val="21"/>
          <w:szCs w:val="21"/>
          <w:highlight w:val="none"/>
        </w:rPr>
        <w:t>三、投标文件的编制的要求编制。</w:t>
      </w:r>
    </w:p>
    <w:p w14:paraId="40E8FA79">
      <w:pPr>
        <w:spacing w:line="360" w:lineRule="auto"/>
        <w:rPr>
          <w:rFonts w:hint="eastAsia" w:ascii="宋体" w:hAnsi="宋体" w:eastAsia="宋体" w:cs="宋体"/>
          <w:b/>
          <w:bCs/>
          <w:spacing w:val="-6"/>
          <w:sz w:val="24"/>
          <w:highlight w:val="none"/>
        </w:rPr>
      </w:pPr>
    </w:p>
    <w:p w14:paraId="061F2A74">
      <w:pPr>
        <w:spacing w:line="360" w:lineRule="auto"/>
        <w:rPr>
          <w:rFonts w:hint="eastAsia" w:ascii="宋体" w:hAnsi="宋体" w:eastAsia="宋体" w:cs="宋体"/>
          <w:b/>
          <w:bCs/>
          <w:spacing w:val="-6"/>
          <w:sz w:val="24"/>
          <w:highlight w:val="none"/>
        </w:rPr>
      </w:pPr>
    </w:p>
    <w:p w14:paraId="50D00231">
      <w:pPr>
        <w:spacing w:line="360" w:lineRule="auto"/>
        <w:rPr>
          <w:rFonts w:hint="eastAsia" w:ascii="宋体" w:hAnsi="宋体" w:eastAsia="宋体" w:cs="宋体"/>
          <w:b/>
          <w:bCs/>
          <w:spacing w:val="-6"/>
          <w:sz w:val="24"/>
          <w:highlight w:val="none"/>
        </w:rPr>
      </w:pPr>
    </w:p>
    <w:p w14:paraId="0330BB1A">
      <w:pPr>
        <w:spacing w:line="360" w:lineRule="auto"/>
        <w:jc w:val="center"/>
        <w:rPr>
          <w:rFonts w:hint="eastAsia" w:ascii="宋体" w:hAnsi="宋体" w:eastAsia="宋体" w:cs="宋体"/>
          <w:b/>
          <w:bCs/>
          <w:spacing w:val="-6"/>
          <w:sz w:val="24"/>
          <w:highlight w:val="none"/>
        </w:rPr>
      </w:pPr>
      <w:r>
        <w:rPr>
          <w:rFonts w:hint="eastAsia" w:ascii="宋体" w:hAnsi="宋体" w:eastAsia="宋体" w:cs="宋体"/>
          <w:b/>
          <w:bCs/>
          <w:spacing w:val="-6"/>
          <w:sz w:val="24"/>
          <w:highlight w:val="none"/>
        </w:rPr>
        <w:t>外层包装（封签）</w:t>
      </w:r>
    </w:p>
    <w:p w14:paraId="41891B7C">
      <w:pPr>
        <w:spacing w:line="360" w:lineRule="auto"/>
        <w:rPr>
          <w:rFonts w:hint="eastAsia" w:ascii="宋体" w:hAnsi="宋体" w:eastAsia="宋体" w:cs="宋体"/>
          <w:spacing w:val="-6"/>
          <w:sz w:val="24"/>
          <w:highlight w:val="none"/>
        </w:rPr>
      </w:pPr>
    </w:p>
    <w:p w14:paraId="5980C061">
      <w:pPr>
        <w:spacing w:line="360" w:lineRule="auto"/>
        <w:jc w:val="center"/>
        <w:rPr>
          <w:rFonts w:hint="eastAsia" w:ascii="宋体" w:hAnsi="宋体" w:eastAsia="宋体" w:cs="宋体"/>
          <w:bCs/>
          <w:spacing w:val="-6"/>
          <w:sz w:val="24"/>
          <w:highlight w:val="none"/>
        </w:rPr>
      </w:pPr>
      <w:r>
        <w:rPr>
          <w:rFonts w:hint="eastAsia" w:ascii="宋体" w:hAnsi="宋体" w:eastAsia="宋体" w:cs="宋体"/>
          <w:bCs/>
          <w:spacing w:val="-6"/>
          <w:sz w:val="24"/>
          <w:highlight w:val="none"/>
          <w:u w:val="single"/>
        </w:rPr>
        <w:t xml:space="preserve">                            </w:t>
      </w:r>
      <w:r>
        <w:rPr>
          <w:rFonts w:hint="eastAsia" w:ascii="宋体" w:hAnsi="宋体" w:eastAsia="宋体" w:cs="宋体"/>
          <w:bCs/>
          <w:spacing w:val="-6"/>
          <w:sz w:val="24"/>
          <w:highlight w:val="none"/>
        </w:rPr>
        <w:t>（投标人名称）</w:t>
      </w:r>
    </w:p>
    <w:p w14:paraId="4560DE3C">
      <w:pPr>
        <w:spacing w:line="360" w:lineRule="auto"/>
        <w:jc w:val="center"/>
        <w:rPr>
          <w:rFonts w:hint="eastAsia" w:ascii="宋体" w:hAnsi="宋体" w:eastAsia="宋体" w:cs="宋体"/>
          <w:b/>
          <w:bCs/>
          <w:spacing w:val="-6"/>
          <w:sz w:val="24"/>
          <w:highlight w:val="none"/>
        </w:rPr>
      </w:pPr>
      <w:r>
        <w:rPr>
          <w:rFonts w:hint="eastAsia" w:ascii="宋体" w:hAnsi="宋体" w:eastAsia="宋体" w:cs="宋体"/>
          <w:b/>
          <w:bCs/>
          <w:spacing w:val="-6"/>
          <w:sz w:val="24"/>
          <w:highlight w:val="none"/>
        </w:rPr>
        <w:t>投 标 文 件</w:t>
      </w:r>
    </w:p>
    <w:p w14:paraId="34D03C70">
      <w:pPr>
        <w:spacing w:line="360" w:lineRule="auto"/>
        <w:rPr>
          <w:rFonts w:hint="eastAsia" w:ascii="宋体" w:hAnsi="宋体" w:eastAsia="宋体" w:cs="宋体"/>
          <w:bCs/>
          <w:spacing w:val="-6"/>
          <w:sz w:val="24"/>
          <w:highlight w:val="none"/>
        </w:rPr>
      </w:pPr>
    </w:p>
    <w:p w14:paraId="09745D5E">
      <w:pPr>
        <w:spacing w:line="360" w:lineRule="auto"/>
        <w:rPr>
          <w:rFonts w:hint="eastAsia" w:ascii="宋体" w:hAnsi="宋体" w:eastAsia="宋体" w:cs="宋体"/>
          <w:bCs/>
          <w:spacing w:val="-6"/>
          <w:sz w:val="24"/>
          <w:highlight w:val="none"/>
          <w:lang w:eastAsia="zh-CN"/>
        </w:rPr>
      </w:pPr>
      <w:r>
        <w:rPr>
          <w:rFonts w:hint="eastAsia" w:ascii="宋体" w:hAnsi="宋体" w:eastAsia="宋体" w:cs="宋体"/>
          <w:bCs/>
          <w:spacing w:val="-6"/>
          <w:sz w:val="24"/>
          <w:highlight w:val="none"/>
        </w:rPr>
        <w:t>招 标 人：</w:t>
      </w:r>
      <w:r>
        <w:rPr>
          <w:rFonts w:hint="eastAsia" w:ascii="宋体" w:hAnsi="宋体" w:eastAsia="宋体" w:cs="宋体"/>
          <w:bCs/>
          <w:spacing w:val="-6"/>
          <w:sz w:val="24"/>
          <w:highlight w:val="none"/>
          <w:lang w:eastAsia="zh-CN"/>
        </w:rPr>
        <w:t>浙江经贸职业技术学院</w:t>
      </w:r>
    </w:p>
    <w:p w14:paraId="12EC3EDA">
      <w:pPr>
        <w:spacing w:line="360" w:lineRule="auto"/>
        <w:rPr>
          <w:rFonts w:hint="default" w:ascii="宋体" w:hAnsi="宋体" w:eastAsia="宋体" w:cs="宋体"/>
          <w:bCs/>
          <w:spacing w:val="-6"/>
          <w:sz w:val="24"/>
          <w:highlight w:val="none"/>
          <w:lang w:val="en-US" w:eastAsia="zh-CN"/>
        </w:rPr>
      </w:pPr>
      <w:r>
        <w:rPr>
          <w:rFonts w:hint="eastAsia" w:ascii="宋体" w:hAnsi="宋体" w:eastAsia="宋体" w:cs="宋体"/>
          <w:bCs/>
          <w:spacing w:val="-6"/>
          <w:sz w:val="24"/>
          <w:highlight w:val="none"/>
        </w:rPr>
        <w:t>招标项目名称：</w:t>
      </w:r>
      <w:r>
        <w:rPr>
          <w:rFonts w:hint="eastAsia" w:ascii="宋体" w:hAnsi="宋体" w:eastAsia="宋体" w:cs="宋体"/>
          <w:bCs/>
          <w:spacing w:val="-6"/>
          <w:sz w:val="24"/>
          <w:highlight w:val="none"/>
          <w:lang w:eastAsia="zh-CN"/>
        </w:rPr>
        <w:t>浙江经贸职业技术学院</w:t>
      </w:r>
      <w:r>
        <w:rPr>
          <w:rFonts w:hint="eastAsia" w:ascii="宋体" w:hAnsi="宋体" w:cs="宋体"/>
          <w:bCs/>
          <w:spacing w:val="-6"/>
          <w:sz w:val="24"/>
          <w:highlight w:val="none"/>
          <w:lang w:eastAsia="zh-CN"/>
        </w:rPr>
        <w:t>202</w:t>
      </w:r>
      <w:r>
        <w:rPr>
          <w:rFonts w:hint="eastAsia" w:ascii="宋体" w:hAnsi="宋体" w:cs="宋体"/>
          <w:bCs/>
          <w:spacing w:val="-6"/>
          <w:sz w:val="24"/>
          <w:highlight w:val="none"/>
          <w:lang w:val="en-US" w:eastAsia="zh-CN"/>
        </w:rPr>
        <w:t>6</w:t>
      </w:r>
      <w:r>
        <w:rPr>
          <w:rFonts w:hint="eastAsia" w:ascii="宋体" w:hAnsi="宋体" w:cs="宋体"/>
          <w:bCs/>
          <w:spacing w:val="-6"/>
          <w:sz w:val="24"/>
          <w:highlight w:val="none"/>
          <w:lang w:eastAsia="zh-CN"/>
        </w:rPr>
        <w:t>年第一期公款竞争性存放</w:t>
      </w:r>
      <w:r>
        <w:rPr>
          <w:rFonts w:hint="eastAsia" w:ascii="宋体" w:hAnsi="宋体" w:cs="宋体"/>
          <w:bCs/>
          <w:spacing w:val="-6"/>
          <w:sz w:val="24"/>
          <w:highlight w:val="none"/>
          <w:lang w:val="en-US" w:eastAsia="zh-CN"/>
        </w:rPr>
        <w:t>招标</w:t>
      </w:r>
    </w:p>
    <w:p w14:paraId="37823802">
      <w:pPr>
        <w:spacing w:line="360" w:lineRule="auto"/>
        <w:rPr>
          <w:rFonts w:hint="eastAsia" w:ascii="宋体" w:hAnsi="宋体" w:eastAsia="宋体" w:cs="宋体"/>
          <w:bCs/>
          <w:spacing w:val="-6"/>
          <w:sz w:val="24"/>
          <w:highlight w:val="none"/>
        </w:rPr>
      </w:pPr>
      <w:r>
        <w:rPr>
          <w:rFonts w:hint="eastAsia" w:ascii="宋体" w:hAnsi="宋体" w:eastAsia="宋体" w:cs="宋体"/>
          <w:bCs/>
          <w:spacing w:val="-6"/>
          <w:sz w:val="24"/>
          <w:highlight w:val="none"/>
        </w:rPr>
        <w:t xml:space="preserve">招标项目编号： </w:t>
      </w:r>
    </w:p>
    <w:p w14:paraId="62147373">
      <w:pPr>
        <w:spacing w:line="360" w:lineRule="auto"/>
        <w:rPr>
          <w:rFonts w:hint="eastAsia" w:ascii="宋体" w:hAnsi="宋体" w:eastAsia="宋体" w:cs="宋体"/>
          <w:bCs/>
          <w:spacing w:val="-6"/>
          <w:sz w:val="24"/>
          <w:highlight w:val="none"/>
        </w:rPr>
      </w:pPr>
      <w:r>
        <w:rPr>
          <w:rFonts w:hint="eastAsia" w:ascii="宋体" w:hAnsi="宋体" w:eastAsia="宋体" w:cs="宋体"/>
          <w:bCs/>
          <w:spacing w:val="-6"/>
          <w:sz w:val="24"/>
          <w:highlight w:val="none"/>
        </w:rPr>
        <w:t>投标人名称（盖章）：</w:t>
      </w:r>
    </w:p>
    <w:p w14:paraId="6E1A3CB1">
      <w:pPr>
        <w:spacing w:line="360" w:lineRule="auto"/>
        <w:rPr>
          <w:rFonts w:hint="eastAsia" w:ascii="宋体" w:hAnsi="宋体" w:eastAsia="宋体" w:cs="宋体"/>
          <w:bCs/>
          <w:spacing w:val="-6"/>
          <w:sz w:val="24"/>
          <w:highlight w:val="none"/>
        </w:rPr>
      </w:pPr>
      <w:r>
        <w:rPr>
          <w:rFonts w:hint="eastAsia" w:ascii="宋体" w:hAnsi="宋体" w:eastAsia="宋体" w:cs="宋体"/>
          <w:bCs/>
          <w:spacing w:val="-6"/>
          <w:sz w:val="24"/>
          <w:highlight w:val="none"/>
        </w:rPr>
        <w:t>投标人地址：</w:t>
      </w:r>
    </w:p>
    <w:p w14:paraId="740D7CDC">
      <w:pPr>
        <w:spacing w:line="360" w:lineRule="auto"/>
        <w:rPr>
          <w:rFonts w:hint="eastAsia" w:ascii="宋体" w:hAnsi="宋体" w:eastAsia="宋体" w:cs="宋体"/>
          <w:bCs/>
          <w:spacing w:val="-6"/>
          <w:sz w:val="24"/>
          <w:highlight w:val="none"/>
        </w:rPr>
      </w:pPr>
      <w:r>
        <w:rPr>
          <w:rFonts w:hint="eastAsia" w:ascii="宋体" w:hAnsi="宋体" w:eastAsia="宋体" w:cs="宋体"/>
          <w:bCs/>
          <w:spacing w:val="-6"/>
          <w:sz w:val="24"/>
          <w:highlight w:val="none"/>
        </w:rPr>
        <w:t>在  年  月  日  时  分之前不得启封</w:t>
      </w:r>
    </w:p>
    <w:p w14:paraId="3FC4D5EB">
      <w:pPr>
        <w:spacing w:line="360" w:lineRule="auto"/>
        <w:rPr>
          <w:rFonts w:hint="eastAsia" w:ascii="宋体" w:hAnsi="宋体" w:eastAsia="宋体" w:cs="宋体"/>
          <w:bCs/>
          <w:spacing w:val="-6"/>
          <w:sz w:val="24"/>
          <w:highlight w:val="none"/>
        </w:rPr>
      </w:pPr>
    </w:p>
    <w:p w14:paraId="3D93C905">
      <w:pPr>
        <w:spacing w:line="360" w:lineRule="auto"/>
        <w:rPr>
          <w:rFonts w:hint="eastAsia" w:ascii="宋体" w:hAnsi="宋体" w:eastAsia="宋体" w:cs="宋体"/>
          <w:bCs/>
          <w:spacing w:val="-6"/>
          <w:sz w:val="24"/>
          <w:highlight w:val="none"/>
        </w:rPr>
      </w:pPr>
      <w:r>
        <w:rPr>
          <w:rFonts w:hint="eastAsia" w:ascii="宋体" w:hAnsi="宋体" w:eastAsia="宋体" w:cs="宋体"/>
          <w:spacing w:val="-6"/>
          <w:sz w:val="24"/>
          <w:highlight w:val="none"/>
        </w:rPr>
        <w:t>投标人代表签字</w:t>
      </w:r>
      <w:r>
        <w:rPr>
          <w:rFonts w:hint="eastAsia" w:ascii="宋体" w:hAnsi="宋体" w:eastAsia="宋体" w:cs="宋体"/>
          <w:bCs/>
          <w:spacing w:val="-6"/>
          <w:sz w:val="24"/>
          <w:highlight w:val="none"/>
        </w:rPr>
        <w:t>：</w:t>
      </w:r>
    </w:p>
    <w:p w14:paraId="732F4DFC">
      <w:pPr>
        <w:spacing w:line="360" w:lineRule="auto"/>
        <w:rPr>
          <w:rFonts w:hint="eastAsia" w:ascii="宋体" w:hAnsi="宋体" w:eastAsia="宋体" w:cs="宋体"/>
          <w:bCs/>
          <w:spacing w:val="-6"/>
          <w:sz w:val="24"/>
          <w:highlight w:val="none"/>
        </w:rPr>
      </w:pPr>
      <w:r>
        <w:rPr>
          <w:rFonts w:hint="eastAsia" w:ascii="宋体" w:hAnsi="宋体" w:eastAsia="宋体" w:cs="宋体"/>
          <w:bCs/>
          <w:spacing w:val="-6"/>
          <w:sz w:val="24"/>
          <w:highlight w:val="none"/>
        </w:rPr>
        <w:t>日期：  年  月  日</w:t>
      </w:r>
    </w:p>
    <w:p w14:paraId="7E24805F">
      <w:pPr>
        <w:spacing w:line="360" w:lineRule="auto"/>
        <w:rPr>
          <w:rFonts w:hint="eastAsia" w:ascii="宋体" w:hAnsi="宋体" w:eastAsia="宋体" w:cs="宋体"/>
          <w:spacing w:val="-6"/>
          <w:sz w:val="24"/>
          <w:highlight w:val="none"/>
        </w:rPr>
      </w:pPr>
      <w:r>
        <w:rPr>
          <w:rFonts w:hint="eastAsia" w:ascii="宋体" w:hAnsi="宋体" w:eastAsia="宋体" w:cs="宋体"/>
          <w:bCs/>
          <w:spacing w:val="-6"/>
          <w:sz w:val="24"/>
          <w:highlight w:val="none"/>
        </w:rPr>
        <w:br w:type="page"/>
      </w:r>
      <w:r>
        <w:rPr>
          <w:rFonts w:hint="eastAsia" w:ascii="宋体" w:hAnsi="宋体" w:eastAsia="宋体" w:cs="宋体"/>
          <w:bCs/>
          <w:spacing w:val="-6"/>
          <w:sz w:val="24"/>
          <w:highlight w:val="none"/>
        </w:rPr>
        <w:t>文件</w:t>
      </w:r>
      <w:r>
        <w:rPr>
          <w:rFonts w:hint="eastAsia" w:ascii="宋体" w:hAnsi="宋体" w:eastAsia="宋体" w:cs="宋体"/>
          <w:spacing w:val="-6"/>
          <w:sz w:val="24"/>
          <w:highlight w:val="none"/>
        </w:rPr>
        <w:t>封面</w:t>
      </w:r>
    </w:p>
    <w:p w14:paraId="51E7DA13">
      <w:pPr>
        <w:spacing w:line="360" w:lineRule="auto"/>
        <w:jc w:val="right"/>
        <w:rPr>
          <w:rFonts w:hint="eastAsia" w:ascii="宋体" w:hAnsi="宋体" w:eastAsia="宋体" w:cs="宋体"/>
          <w:spacing w:val="-6"/>
          <w:sz w:val="24"/>
          <w:highlight w:val="none"/>
        </w:rPr>
      </w:pPr>
      <w:r>
        <w:rPr>
          <w:rFonts w:hint="eastAsia" w:ascii="宋体" w:hAnsi="宋体" w:eastAsia="宋体" w:cs="宋体"/>
          <w:b/>
          <w:bCs/>
          <w:spacing w:val="-6"/>
          <w:sz w:val="24"/>
          <w:highlight w:val="none"/>
        </w:rPr>
        <w:t>正本或副本</w:t>
      </w:r>
    </w:p>
    <w:p w14:paraId="5431B260">
      <w:pPr>
        <w:spacing w:line="360" w:lineRule="auto"/>
        <w:rPr>
          <w:rFonts w:hint="eastAsia" w:ascii="宋体" w:hAnsi="宋体" w:eastAsia="宋体" w:cs="宋体"/>
          <w:spacing w:val="-6"/>
          <w:sz w:val="24"/>
          <w:highlight w:val="none"/>
        </w:rPr>
      </w:pPr>
    </w:p>
    <w:p w14:paraId="040AE54D">
      <w:pPr>
        <w:spacing w:line="360" w:lineRule="auto"/>
        <w:jc w:val="center"/>
        <w:rPr>
          <w:rFonts w:hint="eastAsia" w:ascii="宋体" w:hAnsi="宋体" w:eastAsia="宋体" w:cs="宋体"/>
          <w:bCs/>
          <w:spacing w:val="-6"/>
          <w:sz w:val="24"/>
          <w:highlight w:val="none"/>
        </w:rPr>
      </w:pPr>
      <w:r>
        <w:rPr>
          <w:rFonts w:hint="eastAsia" w:ascii="宋体" w:hAnsi="宋体" w:eastAsia="宋体" w:cs="宋体"/>
          <w:bCs/>
          <w:spacing w:val="-6"/>
          <w:sz w:val="24"/>
          <w:highlight w:val="none"/>
          <w:u w:val="single"/>
        </w:rPr>
        <w:t xml:space="preserve">                          </w:t>
      </w:r>
      <w:r>
        <w:rPr>
          <w:rFonts w:hint="eastAsia" w:ascii="宋体" w:hAnsi="宋体" w:eastAsia="宋体" w:cs="宋体"/>
          <w:bCs/>
          <w:spacing w:val="-6"/>
          <w:sz w:val="24"/>
          <w:highlight w:val="none"/>
        </w:rPr>
        <w:t>（投标人名称）</w:t>
      </w:r>
    </w:p>
    <w:p w14:paraId="52188640">
      <w:pPr>
        <w:spacing w:line="360" w:lineRule="auto"/>
        <w:jc w:val="center"/>
        <w:rPr>
          <w:rFonts w:hint="eastAsia" w:ascii="宋体" w:hAnsi="宋体" w:eastAsia="宋体" w:cs="宋体"/>
          <w:b/>
          <w:bCs/>
          <w:spacing w:val="-6"/>
          <w:sz w:val="24"/>
          <w:highlight w:val="none"/>
        </w:rPr>
      </w:pPr>
      <w:r>
        <w:rPr>
          <w:rFonts w:hint="eastAsia" w:ascii="宋体" w:hAnsi="宋体" w:eastAsia="宋体" w:cs="宋体"/>
          <w:b/>
          <w:bCs/>
          <w:spacing w:val="-6"/>
          <w:sz w:val="24"/>
          <w:highlight w:val="none"/>
        </w:rPr>
        <w:t>投标文件</w:t>
      </w:r>
    </w:p>
    <w:p w14:paraId="35BF58D5">
      <w:pPr>
        <w:spacing w:line="360" w:lineRule="auto"/>
        <w:rPr>
          <w:rFonts w:hint="eastAsia" w:ascii="宋体" w:hAnsi="宋体" w:eastAsia="宋体" w:cs="宋体"/>
          <w:bCs/>
          <w:spacing w:val="-6"/>
          <w:sz w:val="24"/>
          <w:highlight w:val="none"/>
        </w:rPr>
      </w:pPr>
    </w:p>
    <w:p w14:paraId="698ADE3B">
      <w:pPr>
        <w:spacing w:line="360" w:lineRule="auto"/>
        <w:rPr>
          <w:rFonts w:hint="eastAsia" w:ascii="宋体" w:hAnsi="宋体" w:eastAsia="宋体" w:cs="宋体"/>
          <w:bCs/>
          <w:spacing w:val="-6"/>
          <w:sz w:val="24"/>
          <w:highlight w:val="none"/>
          <w:lang w:eastAsia="zh-CN"/>
        </w:rPr>
      </w:pPr>
      <w:r>
        <w:rPr>
          <w:rFonts w:hint="eastAsia" w:ascii="宋体" w:hAnsi="宋体" w:eastAsia="宋体" w:cs="宋体"/>
          <w:bCs/>
          <w:spacing w:val="-6"/>
          <w:sz w:val="24"/>
          <w:highlight w:val="none"/>
        </w:rPr>
        <w:t>招 标 人：</w:t>
      </w:r>
      <w:r>
        <w:rPr>
          <w:rFonts w:hint="eastAsia" w:ascii="宋体" w:hAnsi="宋体" w:eastAsia="宋体" w:cs="宋体"/>
          <w:bCs/>
          <w:spacing w:val="-6"/>
          <w:sz w:val="24"/>
          <w:highlight w:val="none"/>
          <w:lang w:eastAsia="zh-CN"/>
        </w:rPr>
        <w:t>浙江经贸职业技术学院</w:t>
      </w:r>
    </w:p>
    <w:p w14:paraId="5CB3CF1D">
      <w:pPr>
        <w:spacing w:line="360" w:lineRule="auto"/>
        <w:rPr>
          <w:rFonts w:hint="default" w:ascii="宋体" w:hAnsi="宋体" w:eastAsia="宋体" w:cs="宋体"/>
          <w:bCs/>
          <w:spacing w:val="-6"/>
          <w:sz w:val="24"/>
          <w:highlight w:val="none"/>
          <w:lang w:val="en-US" w:eastAsia="zh-CN"/>
        </w:rPr>
      </w:pPr>
      <w:r>
        <w:rPr>
          <w:rFonts w:hint="eastAsia" w:ascii="宋体" w:hAnsi="宋体" w:eastAsia="宋体" w:cs="宋体"/>
          <w:bCs/>
          <w:spacing w:val="-6"/>
          <w:sz w:val="24"/>
          <w:highlight w:val="none"/>
        </w:rPr>
        <w:t>招标项目名称：</w:t>
      </w:r>
      <w:r>
        <w:rPr>
          <w:rFonts w:hint="eastAsia" w:ascii="宋体" w:hAnsi="宋体" w:eastAsia="宋体" w:cs="宋体"/>
          <w:bCs/>
          <w:spacing w:val="-6"/>
          <w:sz w:val="24"/>
          <w:highlight w:val="none"/>
          <w:lang w:eastAsia="zh-CN"/>
        </w:rPr>
        <w:t>浙江经贸职业技术学院</w:t>
      </w:r>
      <w:r>
        <w:rPr>
          <w:rFonts w:hint="eastAsia" w:ascii="宋体" w:hAnsi="宋体" w:cs="宋体"/>
          <w:bCs/>
          <w:spacing w:val="-6"/>
          <w:sz w:val="24"/>
          <w:highlight w:val="none"/>
          <w:lang w:eastAsia="zh-CN"/>
        </w:rPr>
        <w:t>202</w:t>
      </w:r>
      <w:r>
        <w:rPr>
          <w:rFonts w:hint="eastAsia" w:ascii="宋体" w:hAnsi="宋体" w:cs="宋体"/>
          <w:bCs/>
          <w:spacing w:val="-6"/>
          <w:sz w:val="24"/>
          <w:highlight w:val="none"/>
          <w:lang w:val="en-US" w:eastAsia="zh-CN"/>
        </w:rPr>
        <w:t>6</w:t>
      </w:r>
      <w:r>
        <w:rPr>
          <w:rFonts w:hint="eastAsia" w:ascii="宋体" w:hAnsi="宋体" w:cs="宋体"/>
          <w:bCs/>
          <w:spacing w:val="-6"/>
          <w:sz w:val="24"/>
          <w:highlight w:val="none"/>
          <w:lang w:eastAsia="zh-CN"/>
        </w:rPr>
        <w:t>年第一期公款竞争性存放</w:t>
      </w:r>
      <w:r>
        <w:rPr>
          <w:rFonts w:hint="eastAsia" w:ascii="宋体" w:hAnsi="宋体" w:cs="宋体"/>
          <w:bCs/>
          <w:spacing w:val="-6"/>
          <w:sz w:val="24"/>
          <w:highlight w:val="none"/>
          <w:lang w:val="en-US" w:eastAsia="zh-CN"/>
        </w:rPr>
        <w:t>招标</w:t>
      </w:r>
    </w:p>
    <w:p w14:paraId="33BED186">
      <w:pPr>
        <w:spacing w:line="360" w:lineRule="auto"/>
        <w:rPr>
          <w:rFonts w:hint="eastAsia" w:ascii="宋体" w:hAnsi="宋体" w:eastAsia="宋体" w:cs="宋体"/>
          <w:bCs/>
          <w:spacing w:val="-6"/>
          <w:sz w:val="24"/>
          <w:highlight w:val="none"/>
        </w:rPr>
      </w:pPr>
      <w:r>
        <w:rPr>
          <w:rFonts w:hint="eastAsia" w:ascii="宋体" w:hAnsi="宋体" w:eastAsia="宋体" w:cs="宋体"/>
          <w:bCs/>
          <w:spacing w:val="-6"/>
          <w:sz w:val="24"/>
          <w:highlight w:val="none"/>
        </w:rPr>
        <w:t xml:space="preserve">招标项目编号： </w:t>
      </w:r>
    </w:p>
    <w:p w14:paraId="25077488">
      <w:pPr>
        <w:spacing w:line="360" w:lineRule="auto"/>
        <w:rPr>
          <w:rFonts w:hint="eastAsia" w:ascii="宋体" w:hAnsi="宋体" w:eastAsia="宋体" w:cs="宋体"/>
          <w:bCs/>
          <w:spacing w:val="-6"/>
          <w:sz w:val="24"/>
          <w:highlight w:val="none"/>
        </w:rPr>
      </w:pPr>
      <w:r>
        <w:rPr>
          <w:rFonts w:hint="eastAsia" w:ascii="宋体" w:hAnsi="宋体" w:eastAsia="宋体" w:cs="宋体"/>
          <w:bCs/>
          <w:spacing w:val="-6"/>
          <w:sz w:val="24"/>
          <w:highlight w:val="none"/>
        </w:rPr>
        <w:t>投标人名称（盖章）：</w:t>
      </w:r>
    </w:p>
    <w:p w14:paraId="7C27CCC6">
      <w:pPr>
        <w:spacing w:line="360" w:lineRule="auto"/>
        <w:rPr>
          <w:rFonts w:hint="eastAsia" w:ascii="宋体" w:hAnsi="宋体" w:eastAsia="宋体" w:cs="宋体"/>
          <w:bCs/>
          <w:spacing w:val="-6"/>
          <w:sz w:val="24"/>
          <w:highlight w:val="none"/>
        </w:rPr>
      </w:pPr>
      <w:r>
        <w:rPr>
          <w:rFonts w:hint="eastAsia" w:ascii="宋体" w:hAnsi="宋体" w:eastAsia="宋体" w:cs="宋体"/>
          <w:bCs/>
          <w:spacing w:val="-6"/>
          <w:sz w:val="24"/>
          <w:highlight w:val="none"/>
        </w:rPr>
        <w:t>投标人地址：</w:t>
      </w:r>
    </w:p>
    <w:p w14:paraId="08DDB32C">
      <w:pPr>
        <w:spacing w:line="360" w:lineRule="auto"/>
        <w:rPr>
          <w:rFonts w:hint="eastAsia" w:ascii="宋体" w:hAnsi="宋体" w:eastAsia="宋体" w:cs="宋体"/>
          <w:bCs/>
          <w:spacing w:val="-6"/>
          <w:sz w:val="24"/>
          <w:highlight w:val="none"/>
        </w:rPr>
      </w:pPr>
    </w:p>
    <w:p w14:paraId="2D4634F6">
      <w:pPr>
        <w:spacing w:line="360" w:lineRule="auto"/>
        <w:rPr>
          <w:rFonts w:hint="eastAsia" w:ascii="宋体" w:hAnsi="宋体" w:eastAsia="宋体" w:cs="宋体"/>
          <w:bCs/>
          <w:spacing w:val="-6"/>
          <w:sz w:val="24"/>
          <w:highlight w:val="none"/>
        </w:rPr>
      </w:pPr>
      <w:r>
        <w:rPr>
          <w:rFonts w:hint="eastAsia" w:ascii="宋体" w:hAnsi="宋体" w:eastAsia="宋体" w:cs="宋体"/>
          <w:bCs/>
          <w:spacing w:val="-6"/>
          <w:sz w:val="24"/>
          <w:highlight w:val="none"/>
        </w:rPr>
        <w:t>投标人代表签字：</w:t>
      </w:r>
    </w:p>
    <w:p w14:paraId="08AA0969">
      <w:pPr>
        <w:spacing w:line="360" w:lineRule="auto"/>
        <w:rPr>
          <w:rFonts w:hint="eastAsia" w:ascii="宋体" w:hAnsi="宋体" w:eastAsia="宋体" w:cs="宋体"/>
          <w:bCs/>
          <w:spacing w:val="-6"/>
          <w:sz w:val="24"/>
          <w:highlight w:val="none"/>
        </w:rPr>
      </w:pPr>
      <w:r>
        <w:rPr>
          <w:rFonts w:hint="eastAsia" w:ascii="宋体" w:hAnsi="宋体" w:eastAsia="宋体" w:cs="宋体"/>
          <w:bCs/>
          <w:spacing w:val="-6"/>
          <w:sz w:val="24"/>
          <w:highlight w:val="none"/>
        </w:rPr>
        <w:t>日期：  年  月  日</w:t>
      </w:r>
    </w:p>
    <w:p w14:paraId="31EBDEB0">
      <w:pPr>
        <w:spacing w:line="360" w:lineRule="auto"/>
        <w:jc w:val="center"/>
        <w:outlineLvl w:val="1"/>
        <w:rPr>
          <w:rFonts w:hint="eastAsia" w:ascii="宋体" w:hAnsi="宋体" w:eastAsia="宋体" w:cs="宋体"/>
          <w:b/>
          <w:spacing w:val="-6"/>
          <w:sz w:val="52"/>
          <w:szCs w:val="52"/>
          <w:highlight w:val="none"/>
        </w:rPr>
      </w:pPr>
      <w:r>
        <w:rPr>
          <w:rFonts w:hint="eastAsia" w:ascii="宋体" w:hAnsi="宋体" w:eastAsia="宋体" w:cs="宋体"/>
          <w:spacing w:val="-6"/>
          <w:sz w:val="24"/>
          <w:highlight w:val="none"/>
        </w:rPr>
        <w:br w:type="page"/>
      </w:r>
      <w:r>
        <w:rPr>
          <w:rFonts w:hint="eastAsia" w:ascii="宋体" w:hAnsi="宋体" w:eastAsia="宋体" w:cs="宋体"/>
          <w:b/>
          <w:spacing w:val="-6"/>
          <w:sz w:val="52"/>
          <w:szCs w:val="52"/>
          <w:highlight w:val="none"/>
        </w:rPr>
        <w:t>报价文件</w:t>
      </w:r>
    </w:p>
    <w:p w14:paraId="72C4F1B1">
      <w:pPr>
        <w:snapToGrid w:val="0"/>
        <w:spacing w:line="360" w:lineRule="auto"/>
        <w:jc w:val="center"/>
        <w:outlineLvl w:val="2"/>
        <w:rPr>
          <w:rFonts w:hint="eastAsia" w:ascii="宋体" w:hAnsi="宋体" w:eastAsia="宋体" w:cs="宋体"/>
          <w:b/>
          <w:spacing w:val="-6"/>
          <w:sz w:val="24"/>
          <w:highlight w:val="none"/>
        </w:rPr>
      </w:pPr>
      <w:r>
        <w:rPr>
          <w:rFonts w:hint="eastAsia" w:ascii="宋体" w:hAnsi="宋体" w:eastAsia="宋体" w:cs="宋体"/>
          <w:b/>
          <w:spacing w:val="-6"/>
          <w:sz w:val="24"/>
          <w:highlight w:val="none"/>
        </w:rPr>
        <w:t>开标一览表</w:t>
      </w:r>
    </w:p>
    <w:p w14:paraId="1EDA2FAD">
      <w:pPr>
        <w:spacing w:line="360" w:lineRule="auto"/>
        <w:rPr>
          <w:rFonts w:hint="eastAsia" w:ascii="宋体" w:hAnsi="宋体" w:eastAsia="宋体" w:cs="宋体"/>
          <w:bCs/>
          <w:spacing w:val="-6"/>
          <w:sz w:val="24"/>
          <w:highlight w:val="none"/>
          <w:lang w:eastAsia="zh-CN"/>
        </w:rPr>
      </w:pPr>
      <w:r>
        <w:rPr>
          <w:rFonts w:hint="eastAsia" w:ascii="宋体" w:hAnsi="宋体" w:eastAsia="宋体" w:cs="宋体"/>
          <w:bCs/>
          <w:spacing w:val="-6"/>
          <w:sz w:val="24"/>
          <w:highlight w:val="none"/>
        </w:rPr>
        <w:t>招 标 人：</w:t>
      </w:r>
      <w:r>
        <w:rPr>
          <w:rFonts w:hint="eastAsia" w:ascii="宋体" w:hAnsi="宋体" w:eastAsia="宋体" w:cs="宋体"/>
          <w:bCs/>
          <w:spacing w:val="-6"/>
          <w:sz w:val="24"/>
          <w:highlight w:val="none"/>
          <w:lang w:eastAsia="zh-CN"/>
        </w:rPr>
        <w:t>浙江经贸职业技术学院</w:t>
      </w:r>
    </w:p>
    <w:p w14:paraId="2C9B262C">
      <w:pPr>
        <w:spacing w:line="360" w:lineRule="auto"/>
        <w:rPr>
          <w:rFonts w:hint="default" w:ascii="宋体" w:hAnsi="宋体" w:eastAsia="宋体" w:cs="宋体"/>
          <w:bCs/>
          <w:spacing w:val="-6"/>
          <w:sz w:val="24"/>
          <w:highlight w:val="none"/>
          <w:lang w:val="en-US" w:eastAsia="zh-CN"/>
        </w:rPr>
      </w:pPr>
      <w:r>
        <w:rPr>
          <w:rFonts w:hint="eastAsia" w:ascii="宋体" w:hAnsi="宋体" w:eastAsia="宋体" w:cs="宋体"/>
          <w:bCs/>
          <w:spacing w:val="-6"/>
          <w:sz w:val="24"/>
          <w:highlight w:val="none"/>
        </w:rPr>
        <w:t>招标项目名称：</w:t>
      </w:r>
      <w:r>
        <w:rPr>
          <w:rFonts w:hint="eastAsia" w:ascii="宋体" w:hAnsi="宋体" w:eastAsia="宋体" w:cs="宋体"/>
          <w:bCs/>
          <w:spacing w:val="-6"/>
          <w:sz w:val="24"/>
          <w:highlight w:val="none"/>
          <w:lang w:eastAsia="zh-CN"/>
        </w:rPr>
        <w:t>浙江经贸职业技术学院</w:t>
      </w:r>
      <w:r>
        <w:rPr>
          <w:rFonts w:hint="eastAsia" w:ascii="宋体" w:hAnsi="宋体" w:cs="宋体"/>
          <w:bCs/>
          <w:spacing w:val="-6"/>
          <w:sz w:val="24"/>
          <w:highlight w:val="none"/>
          <w:lang w:eastAsia="zh-CN"/>
        </w:rPr>
        <w:t>2025年第一期公款竞争性存放</w:t>
      </w:r>
      <w:r>
        <w:rPr>
          <w:rFonts w:hint="eastAsia" w:ascii="宋体" w:hAnsi="宋体" w:cs="宋体"/>
          <w:bCs/>
          <w:spacing w:val="-6"/>
          <w:sz w:val="24"/>
          <w:highlight w:val="none"/>
          <w:lang w:val="en-US" w:eastAsia="zh-CN"/>
        </w:rPr>
        <w:t>招标</w:t>
      </w:r>
    </w:p>
    <w:p w14:paraId="287311DB">
      <w:pPr>
        <w:snapToGrid w:val="0"/>
        <w:spacing w:line="360" w:lineRule="auto"/>
        <w:rPr>
          <w:rFonts w:hint="eastAsia" w:ascii="宋体" w:hAnsi="宋体" w:eastAsia="宋体" w:cs="宋体"/>
          <w:b/>
          <w:spacing w:val="-6"/>
          <w:sz w:val="24"/>
          <w:highlight w:val="none"/>
          <w:lang w:eastAsia="zh-CN"/>
        </w:rPr>
      </w:pPr>
      <w:r>
        <w:rPr>
          <w:rFonts w:hint="eastAsia" w:ascii="宋体" w:hAnsi="宋体" w:eastAsia="宋体" w:cs="宋体"/>
          <w:bCs/>
          <w:spacing w:val="-6"/>
          <w:sz w:val="24"/>
          <w:highlight w:val="none"/>
        </w:rPr>
        <w:t>招标项目编号：</w:t>
      </w:r>
    </w:p>
    <w:p w14:paraId="1602ECB9">
      <w:pPr>
        <w:spacing w:line="360" w:lineRule="auto"/>
        <w:jc w:val="center"/>
        <w:rPr>
          <w:rFonts w:hint="eastAsia" w:ascii="宋体" w:hAnsi="宋体" w:eastAsia="宋体" w:cs="宋体"/>
          <w:bCs/>
          <w:spacing w:val="-6"/>
          <w:sz w:val="24"/>
          <w:highlight w:val="none"/>
        </w:rPr>
      </w:pPr>
    </w:p>
    <w:p w14:paraId="76EB8B47">
      <w:pPr>
        <w:spacing w:line="360" w:lineRule="auto"/>
        <w:jc w:val="center"/>
        <w:rPr>
          <w:rFonts w:hint="eastAsia" w:ascii="宋体" w:hAnsi="宋体" w:eastAsia="宋体" w:cs="宋体"/>
          <w:bCs/>
          <w:spacing w:val="-6"/>
          <w:sz w:val="24"/>
          <w:highlight w:val="none"/>
        </w:rPr>
      </w:pP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2160"/>
        <w:gridCol w:w="2280"/>
        <w:gridCol w:w="3140"/>
      </w:tblGrid>
      <w:tr w14:paraId="3ABD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048" w:type="dxa"/>
            <w:vAlign w:val="center"/>
          </w:tcPr>
          <w:p w14:paraId="73FC406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2160" w:type="dxa"/>
            <w:vAlign w:val="center"/>
          </w:tcPr>
          <w:p w14:paraId="7796EA1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国家基准利率（%）</w:t>
            </w:r>
          </w:p>
        </w:tc>
        <w:tc>
          <w:tcPr>
            <w:tcW w:w="2280" w:type="dxa"/>
            <w:vAlign w:val="center"/>
          </w:tcPr>
          <w:p w14:paraId="62B7181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基点（bp）</w:t>
            </w:r>
          </w:p>
        </w:tc>
        <w:tc>
          <w:tcPr>
            <w:tcW w:w="3140" w:type="dxa"/>
            <w:vAlign w:val="center"/>
          </w:tcPr>
          <w:p w14:paraId="02E9A23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本项目利率(%)</w:t>
            </w:r>
          </w:p>
          <w:p w14:paraId="7474F87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=国家基准利率（%）+基点（bp）</w:t>
            </w:r>
          </w:p>
        </w:tc>
      </w:tr>
      <w:tr w14:paraId="0A4A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048" w:type="dxa"/>
            <w:vAlign w:val="center"/>
          </w:tcPr>
          <w:p w14:paraId="6491B2F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一年定期存款</w:t>
            </w:r>
          </w:p>
        </w:tc>
        <w:tc>
          <w:tcPr>
            <w:tcW w:w="2160" w:type="dxa"/>
            <w:vAlign w:val="center"/>
          </w:tcPr>
          <w:p w14:paraId="1C3A19C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2280" w:type="dxa"/>
            <w:vAlign w:val="center"/>
          </w:tcPr>
          <w:p w14:paraId="4D13C3E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3140" w:type="dxa"/>
            <w:vAlign w:val="center"/>
          </w:tcPr>
          <w:p w14:paraId="01BC59A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（A1）</w:t>
            </w:r>
          </w:p>
        </w:tc>
      </w:tr>
      <w:tr w14:paraId="192A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488" w:type="dxa"/>
            <w:gridSpan w:val="3"/>
            <w:vAlign w:val="center"/>
          </w:tcPr>
          <w:p w14:paraId="1040111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利率（A1）</w:t>
            </w:r>
          </w:p>
        </w:tc>
        <w:tc>
          <w:tcPr>
            <w:tcW w:w="3140" w:type="dxa"/>
            <w:vAlign w:val="center"/>
          </w:tcPr>
          <w:p w14:paraId="5E784E7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r>
    </w:tbl>
    <w:p w14:paraId="1607A0D3">
      <w:pPr>
        <w:spacing w:line="360" w:lineRule="auto"/>
        <w:jc w:val="center"/>
        <w:rPr>
          <w:rFonts w:hint="eastAsia" w:ascii="宋体" w:hAnsi="宋体" w:eastAsia="宋体" w:cs="宋体"/>
          <w:bCs/>
          <w:spacing w:val="-6"/>
          <w:sz w:val="24"/>
          <w:highlight w:val="none"/>
        </w:rPr>
      </w:pPr>
    </w:p>
    <w:p w14:paraId="332B6A23">
      <w:pPr>
        <w:pStyle w:val="32"/>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备注：基点（bp）：1 个基点等于0.01%</w:t>
      </w:r>
    </w:p>
    <w:p w14:paraId="75677B60">
      <w:pPr>
        <w:pStyle w:val="32"/>
        <w:spacing w:line="360" w:lineRule="auto"/>
        <w:rPr>
          <w:rFonts w:hint="eastAsia" w:ascii="宋体" w:hAnsi="宋体" w:eastAsia="宋体" w:cs="宋体"/>
          <w:b/>
          <w:bCs/>
          <w:color w:val="auto"/>
          <w:highlight w:val="none"/>
        </w:rPr>
      </w:pPr>
    </w:p>
    <w:p w14:paraId="0F4541AF">
      <w:pPr>
        <w:spacing w:line="360" w:lineRule="auto"/>
        <w:jc w:val="center"/>
        <w:rPr>
          <w:rFonts w:hint="eastAsia" w:ascii="宋体" w:hAnsi="宋体" w:eastAsia="宋体" w:cs="宋体"/>
          <w:bCs/>
          <w:spacing w:val="-6"/>
          <w:sz w:val="24"/>
          <w:highlight w:val="none"/>
        </w:rPr>
      </w:pPr>
    </w:p>
    <w:p w14:paraId="7841AE9E">
      <w:pPr>
        <w:spacing w:line="360" w:lineRule="auto"/>
        <w:rPr>
          <w:rFonts w:hint="eastAsia" w:ascii="宋体" w:hAnsi="宋体" w:eastAsia="宋体" w:cs="宋体"/>
          <w:spacing w:val="-6"/>
          <w:sz w:val="24"/>
          <w:highlight w:val="none"/>
        </w:rPr>
      </w:pPr>
      <w:r>
        <w:rPr>
          <w:rFonts w:hint="eastAsia" w:ascii="宋体" w:hAnsi="宋体" w:eastAsia="宋体" w:cs="宋体"/>
          <w:spacing w:val="-6"/>
          <w:sz w:val="24"/>
          <w:highlight w:val="none"/>
        </w:rPr>
        <w:t>投标人名称（盖章）：</w:t>
      </w:r>
    </w:p>
    <w:p w14:paraId="07857CDB">
      <w:pPr>
        <w:spacing w:line="360" w:lineRule="auto"/>
        <w:rPr>
          <w:rFonts w:hint="eastAsia" w:ascii="宋体" w:hAnsi="宋体" w:eastAsia="宋体" w:cs="宋体"/>
          <w:spacing w:val="-6"/>
          <w:sz w:val="24"/>
          <w:highlight w:val="none"/>
        </w:rPr>
      </w:pPr>
      <w:r>
        <w:rPr>
          <w:rFonts w:hint="eastAsia" w:ascii="宋体" w:hAnsi="宋体" w:eastAsia="宋体" w:cs="宋体"/>
          <w:spacing w:val="-6"/>
          <w:sz w:val="24"/>
          <w:highlight w:val="none"/>
        </w:rPr>
        <w:t>投标人代表签字</w:t>
      </w:r>
      <w:r>
        <w:rPr>
          <w:rFonts w:hint="eastAsia" w:ascii="宋体" w:hAnsi="宋体" w:eastAsia="宋体" w:cs="宋体"/>
          <w:bCs/>
          <w:spacing w:val="-6"/>
          <w:sz w:val="24"/>
          <w:highlight w:val="none"/>
        </w:rPr>
        <w:t>：</w:t>
      </w:r>
    </w:p>
    <w:p w14:paraId="3C43AA9B">
      <w:pPr>
        <w:spacing w:line="360" w:lineRule="auto"/>
        <w:rPr>
          <w:rFonts w:hint="eastAsia" w:ascii="宋体" w:hAnsi="宋体" w:eastAsia="宋体" w:cs="宋体"/>
          <w:spacing w:val="-6"/>
          <w:sz w:val="24"/>
          <w:highlight w:val="none"/>
        </w:rPr>
      </w:pPr>
      <w:r>
        <w:rPr>
          <w:rFonts w:hint="eastAsia" w:ascii="宋体" w:hAnsi="宋体" w:eastAsia="宋体" w:cs="宋体"/>
          <w:bCs/>
          <w:spacing w:val="-6"/>
          <w:sz w:val="24"/>
          <w:highlight w:val="none"/>
        </w:rPr>
        <w:t>日期：  年  月  日</w:t>
      </w:r>
    </w:p>
    <w:p w14:paraId="57AD147B">
      <w:pPr>
        <w:spacing w:line="360" w:lineRule="auto"/>
        <w:rPr>
          <w:rFonts w:hint="eastAsia" w:ascii="宋体" w:hAnsi="宋体" w:eastAsia="宋体" w:cs="宋体"/>
          <w:spacing w:val="-6"/>
          <w:sz w:val="24"/>
          <w:highlight w:val="none"/>
        </w:rPr>
      </w:pPr>
    </w:p>
    <w:p w14:paraId="0C61907D">
      <w:pPr>
        <w:snapToGrid w:val="0"/>
        <w:spacing w:line="360" w:lineRule="auto"/>
        <w:jc w:val="center"/>
        <w:outlineLvl w:val="1"/>
        <w:rPr>
          <w:rFonts w:hint="eastAsia" w:ascii="宋体" w:hAnsi="宋体" w:eastAsia="宋体" w:cs="宋体"/>
          <w:b/>
          <w:spacing w:val="-6"/>
          <w:sz w:val="24"/>
          <w:highlight w:val="none"/>
        </w:rPr>
      </w:pPr>
      <w:r>
        <w:rPr>
          <w:rFonts w:hint="eastAsia" w:ascii="宋体" w:hAnsi="宋体" w:eastAsia="宋体" w:cs="宋体"/>
          <w:b/>
          <w:spacing w:val="-6"/>
          <w:sz w:val="24"/>
          <w:highlight w:val="none"/>
        </w:rPr>
        <w:br w:type="page"/>
      </w:r>
      <w:r>
        <w:rPr>
          <w:rFonts w:hint="eastAsia" w:ascii="宋体" w:hAnsi="宋体" w:eastAsia="宋体" w:cs="宋体"/>
          <w:b/>
          <w:spacing w:val="-6"/>
          <w:sz w:val="52"/>
          <w:szCs w:val="52"/>
          <w:highlight w:val="none"/>
        </w:rPr>
        <w:t>资格文件</w:t>
      </w:r>
    </w:p>
    <w:p w14:paraId="469F1D26">
      <w:pPr>
        <w:snapToGrid w:val="0"/>
        <w:spacing w:line="360" w:lineRule="auto"/>
        <w:rPr>
          <w:rFonts w:hint="eastAsia" w:ascii="宋体" w:hAnsi="宋体" w:eastAsia="宋体" w:cs="宋体"/>
          <w:b/>
          <w:spacing w:val="-6"/>
          <w:sz w:val="24"/>
          <w:highlight w:val="none"/>
        </w:rPr>
      </w:pPr>
    </w:p>
    <w:p w14:paraId="09CFA390">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（1）有效的法人或者其他组织的营业执照等证明文件（扫描件加盖公章）、中华人民共和国金融许可证（扫描件加盖公章）</w:t>
      </w:r>
    </w:p>
    <w:p w14:paraId="65C283A6">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（2）中标后对本项目指定的一家杭州市区分支机构作为存款银行的承诺书，承诺在合同期内不得随意转移（包含但不限于杭分支机构的地址，联系人等信息）（格式自拟）</w:t>
      </w:r>
    </w:p>
    <w:p w14:paraId="65B18137">
      <w:pPr>
        <w:spacing w:line="360" w:lineRule="auto"/>
        <w:ind w:firstLine="396"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（3）参加采购活动前3年内在经营活动中没有重大违法记录的书面声明（格式自拟）</w:t>
      </w:r>
    </w:p>
    <w:p w14:paraId="4BBB1B63">
      <w:pPr>
        <w:spacing w:line="360" w:lineRule="auto"/>
        <w:ind w:firstLine="396"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（4）上一年度由人民银行杭州中心支行出具综合评价证明材料（</w:t>
      </w:r>
      <w:r>
        <w:rPr>
          <w:rFonts w:hint="eastAsia" w:ascii="宋体" w:hAnsi="宋体" w:eastAsia="宋体" w:cs="宋体"/>
          <w:sz w:val="21"/>
          <w:szCs w:val="21"/>
          <w:highlight w:val="none"/>
        </w:rPr>
        <w:t>如因人民银行原因无法提供上年度（202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年度）的综合评价可提供202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年度的材料文件，并说明无法提供202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年度人民银行的综合评价的相关原因，出具机构对证明的真实性负责，不得虚假提供，虚假提供一经发现则取消中标资格。）</w:t>
      </w:r>
    </w:p>
    <w:p w14:paraId="6097986F">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（5）提供投标人为省级分行的声明书或省级分行针对本项目的授权委托书（投标人为总行无需提供）</w:t>
      </w:r>
    </w:p>
    <w:p w14:paraId="3C4D9C1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若本项目投标银行中标</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前期公款竞争性存放项目，则</w:t>
      </w:r>
      <w:r>
        <w:rPr>
          <w:rFonts w:hint="eastAsia" w:ascii="宋体" w:hAnsi="宋体" w:eastAsia="宋体" w:cs="宋体"/>
          <w:sz w:val="21"/>
          <w:szCs w:val="21"/>
          <w:highlight w:val="none"/>
          <w:lang w:val="en-US" w:eastAsia="zh-CN"/>
        </w:rPr>
        <w:t>需要提供</w:t>
      </w:r>
      <w:r>
        <w:rPr>
          <w:rFonts w:hint="eastAsia" w:ascii="宋体" w:hAnsi="宋体" w:cs="宋体"/>
          <w:sz w:val="21"/>
          <w:szCs w:val="21"/>
          <w:highlight w:val="none"/>
          <w:lang w:val="en-US" w:eastAsia="zh-CN"/>
        </w:rPr>
        <w:t>其</w:t>
      </w:r>
      <w:r>
        <w:rPr>
          <w:rFonts w:hint="eastAsia" w:ascii="宋体" w:hAnsi="宋体" w:eastAsia="宋体" w:cs="宋体"/>
          <w:sz w:val="21"/>
          <w:szCs w:val="21"/>
          <w:highlight w:val="none"/>
        </w:rPr>
        <w:t>在本项目开标前</w:t>
      </w:r>
      <w:r>
        <w:rPr>
          <w:rFonts w:hint="eastAsia" w:ascii="宋体" w:hAnsi="宋体" w:eastAsia="宋体" w:cs="宋体"/>
          <w:sz w:val="21"/>
          <w:szCs w:val="21"/>
          <w:highlight w:val="none"/>
          <w:lang w:val="en-US" w:eastAsia="zh-CN"/>
        </w:rPr>
        <w:t>已</w:t>
      </w:r>
      <w:r>
        <w:rPr>
          <w:rFonts w:hint="eastAsia" w:ascii="宋体" w:hAnsi="宋体" w:eastAsia="宋体" w:cs="宋体"/>
          <w:sz w:val="21"/>
          <w:szCs w:val="21"/>
          <w:highlight w:val="none"/>
        </w:rPr>
        <w:t>履行完成</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前期公款竞争性存放项目中标时的相关承诺</w:t>
      </w:r>
      <w:r>
        <w:rPr>
          <w:rFonts w:hint="eastAsia" w:ascii="宋体" w:hAnsi="宋体" w:eastAsia="宋体" w:cs="宋体"/>
          <w:sz w:val="21"/>
          <w:szCs w:val="21"/>
          <w:highlight w:val="none"/>
          <w:lang w:val="en-US" w:eastAsia="zh-CN"/>
        </w:rPr>
        <w:t>的承诺函</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并由招标人盖章</w:t>
      </w:r>
      <w:r>
        <w:rPr>
          <w:rFonts w:hint="eastAsia" w:ascii="宋体" w:hAnsi="宋体" w:eastAsia="宋体" w:cs="宋体"/>
          <w:sz w:val="21"/>
          <w:szCs w:val="21"/>
          <w:highlight w:val="none"/>
        </w:rPr>
        <w:t>。</w:t>
      </w:r>
    </w:p>
    <w:p w14:paraId="3661AE22">
      <w:pPr>
        <w:spacing w:line="360" w:lineRule="auto"/>
        <w:rPr>
          <w:rFonts w:hint="eastAsia" w:ascii="宋体" w:hAnsi="宋体" w:eastAsia="宋体" w:cs="宋体"/>
          <w:b/>
          <w:spacing w:val="-6"/>
          <w:sz w:val="24"/>
          <w:highlight w:val="none"/>
        </w:rPr>
      </w:pPr>
      <w:r>
        <w:rPr>
          <w:rFonts w:hint="eastAsia" w:ascii="宋体" w:hAnsi="宋体" w:eastAsia="宋体" w:cs="宋体"/>
          <w:b/>
          <w:spacing w:val="-6"/>
          <w:sz w:val="24"/>
          <w:highlight w:val="none"/>
        </w:rPr>
        <w:br w:type="page"/>
      </w:r>
    </w:p>
    <w:p w14:paraId="25CD76EA">
      <w:pPr>
        <w:snapToGrid w:val="0"/>
        <w:spacing w:line="360" w:lineRule="auto"/>
        <w:jc w:val="center"/>
        <w:outlineLvl w:val="2"/>
        <w:rPr>
          <w:rFonts w:hint="eastAsia" w:ascii="宋体" w:hAnsi="宋体" w:eastAsia="宋体" w:cs="宋体"/>
          <w:b/>
          <w:spacing w:val="-6"/>
          <w:sz w:val="52"/>
          <w:szCs w:val="52"/>
          <w:highlight w:val="none"/>
        </w:rPr>
      </w:pPr>
      <w:r>
        <w:rPr>
          <w:rFonts w:hint="eastAsia" w:ascii="宋体" w:hAnsi="宋体" w:eastAsia="宋体" w:cs="宋体"/>
          <w:b/>
          <w:spacing w:val="-6"/>
          <w:sz w:val="52"/>
          <w:szCs w:val="52"/>
          <w:highlight w:val="none"/>
        </w:rPr>
        <w:t>商务及技术文件</w:t>
      </w:r>
    </w:p>
    <w:p w14:paraId="03CF634D">
      <w:pPr>
        <w:snapToGrid w:val="0"/>
        <w:spacing w:line="360" w:lineRule="auto"/>
        <w:jc w:val="center"/>
        <w:outlineLvl w:val="2"/>
        <w:rPr>
          <w:rFonts w:hint="eastAsia" w:ascii="宋体" w:hAnsi="宋体" w:eastAsia="宋体" w:cs="宋体"/>
          <w:b/>
          <w:spacing w:val="-6"/>
          <w:sz w:val="24"/>
          <w:highlight w:val="none"/>
        </w:rPr>
      </w:pPr>
      <w:r>
        <w:rPr>
          <w:rFonts w:hint="eastAsia" w:ascii="宋体" w:hAnsi="宋体" w:eastAsia="宋体" w:cs="宋体"/>
          <w:b/>
          <w:spacing w:val="-6"/>
          <w:sz w:val="24"/>
          <w:highlight w:val="none"/>
        </w:rPr>
        <w:t>投 标 函</w:t>
      </w:r>
    </w:p>
    <w:p w14:paraId="493DF260">
      <w:pPr>
        <w:spacing w:line="360" w:lineRule="auto"/>
        <w:rPr>
          <w:rFonts w:hint="eastAsia" w:ascii="宋体" w:hAnsi="宋体" w:eastAsia="宋体" w:cs="宋体"/>
          <w:spacing w:val="-6"/>
          <w:sz w:val="24"/>
          <w:highlight w:val="none"/>
        </w:rPr>
      </w:pPr>
      <w:r>
        <w:rPr>
          <w:rFonts w:hint="eastAsia" w:ascii="宋体" w:hAnsi="宋体" w:eastAsia="宋体" w:cs="宋体"/>
          <w:spacing w:val="-6"/>
          <w:sz w:val="24"/>
          <w:highlight w:val="none"/>
        </w:rPr>
        <w:t>致：</w:t>
      </w:r>
      <w:r>
        <w:rPr>
          <w:rFonts w:hint="eastAsia" w:ascii="宋体" w:hAnsi="宋体" w:cs="宋体"/>
          <w:spacing w:val="-6"/>
          <w:sz w:val="24"/>
          <w:highlight w:val="none"/>
          <w:lang w:eastAsia="zh-CN"/>
        </w:rPr>
        <w:t>浙江致信招标代理有限公司</w:t>
      </w:r>
      <w:r>
        <w:rPr>
          <w:rFonts w:hint="eastAsia" w:ascii="宋体" w:hAnsi="宋体" w:eastAsia="宋体" w:cs="宋体"/>
          <w:spacing w:val="-6"/>
          <w:sz w:val="24"/>
          <w:highlight w:val="none"/>
        </w:rPr>
        <w:t>：</w:t>
      </w:r>
    </w:p>
    <w:p w14:paraId="31934EE0">
      <w:pPr>
        <w:spacing w:line="360" w:lineRule="auto"/>
        <w:ind w:firstLine="456"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根据贵方为</w:t>
      </w:r>
      <w:r>
        <w:rPr>
          <w:rFonts w:hint="eastAsia" w:ascii="宋体" w:hAnsi="宋体" w:eastAsia="宋体" w:cs="宋体"/>
          <w:bCs/>
          <w:spacing w:val="-6"/>
          <w:sz w:val="24"/>
          <w:highlight w:val="none"/>
          <w:lang w:eastAsia="zh-CN"/>
        </w:rPr>
        <w:t>浙江经贸职业技术学院</w:t>
      </w:r>
      <w:r>
        <w:rPr>
          <w:rFonts w:hint="eastAsia" w:ascii="宋体" w:hAnsi="宋体" w:cs="宋体"/>
          <w:bCs/>
          <w:spacing w:val="-6"/>
          <w:sz w:val="24"/>
          <w:highlight w:val="none"/>
          <w:lang w:eastAsia="zh-CN"/>
        </w:rPr>
        <w:t>20</w:t>
      </w:r>
      <w:r>
        <w:rPr>
          <w:rFonts w:hint="eastAsia" w:ascii="宋体" w:hAnsi="宋体" w:cs="宋体"/>
          <w:bCs/>
          <w:spacing w:val="-6"/>
          <w:sz w:val="24"/>
          <w:highlight w:val="none"/>
          <w:lang w:val="en-US" w:eastAsia="zh-CN"/>
        </w:rPr>
        <w:t>26</w:t>
      </w:r>
      <w:r>
        <w:rPr>
          <w:rFonts w:hint="eastAsia" w:ascii="宋体" w:hAnsi="宋体" w:cs="宋体"/>
          <w:bCs/>
          <w:spacing w:val="-6"/>
          <w:sz w:val="24"/>
          <w:highlight w:val="none"/>
          <w:lang w:eastAsia="zh-CN"/>
        </w:rPr>
        <w:t>年第一期公款竞争性存放</w:t>
      </w:r>
      <w:r>
        <w:rPr>
          <w:rFonts w:hint="eastAsia" w:ascii="宋体" w:hAnsi="宋体" w:eastAsia="宋体" w:cs="宋体"/>
          <w:spacing w:val="-6"/>
          <w:sz w:val="24"/>
          <w:highlight w:val="none"/>
        </w:rPr>
        <w:t>招标的公告（招标项目编号</w:t>
      </w:r>
      <w:r>
        <w:rPr>
          <w:rFonts w:hint="eastAsia" w:ascii="宋体" w:hAnsi="宋体" w:eastAsia="宋体" w:cs="宋体"/>
          <w:bCs/>
          <w:spacing w:val="-6"/>
          <w:sz w:val="24"/>
          <w:highlight w:val="none"/>
        </w:rPr>
        <w:t>： ）</w:t>
      </w:r>
      <w:r>
        <w:rPr>
          <w:rFonts w:hint="eastAsia" w:ascii="宋体" w:hAnsi="宋体" w:eastAsia="宋体" w:cs="宋体"/>
          <w:spacing w:val="-6"/>
          <w:sz w:val="24"/>
          <w:highlight w:val="none"/>
        </w:rPr>
        <w:t>，授权代表</w:t>
      </w:r>
      <w:r>
        <w:rPr>
          <w:rFonts w:hint="eastAsia" w:ascii="宋体" w:hAnsi="宋体" w:eastAsia="宋体" w:cs="宋体"/>
          <w:bCs/>
          <w:spacing w:val="-6"/>
          <w:sz w:val="24"/>
          <w:highlight w:val="none"/>
        </w:rPr>
        <w:t>____________</w:t>
      </w:r>
      <w:r>
        <w:rPr>
          <w:rFonts w:hint="eastAsia" w:ascii="宋体" w:hAnsi="宋体" w:eastAsia="宋体" w:cs="宋体"/>
          <w:spacing w:val="-6"/>
          <w:sz w:val="24"/>
          <w:highlight w:val="none"/>
        </w:rPr>
        <w:t>（全名）经正式授权并代表投标人</w:t>
      </w:r>
      <w:r>
        <w:rPr>
          <w:rFonts w:hint="eastAsia" w:ascii="宋体" w:hAnsi="宋体" w:eastAsia="宋体" w:cs="宋体"/>
          <w:bCs/>
          <w:spacing w:val="-6"/>
          <w:sz w:val="24"/>
          <w:highlight w:val="none"/>
        </w:rPr>
        <w:t>_______________________________</w:t>
      </w:r>
      <w:r>
        <w:rPr>
          <w:rFonts w:hint="eastAsia" w:ascii="宋体" w:hAnsi="宋体" w:eastAsia="宋体" w:cs="宋体"/>
          <w:spacing w:val="-6"/>
          <w:sz w:val="24"/>
          <w:highlight w:val="none"/>
        </w:rPr>
        <w:t>（投标人名称）</w:t>
      </w:r>
    </w:p>
    <w:p w14:paraId="3E72E0A2">
      <w:pPr>
        <w:spacing w:line="360" w:lineRule="auto"/>
        <w:ind w:firstLine="456"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据此函，授权代表宣布同意如下：</w:t>
      </w:r>
    </w:p>
    <w:p w14:paraId="4DE0E7ED">
      <w:pPr>
        <w:spacing w:line="360" w:lineRule="auto"/>
        <w:ind w:firstLine="456"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1.投标人已详细审查全部“招标文件”，包括修改文件（如有）以及全部参考资料和有关附件，已经了解我方对于招标文件、招标过程、中标结果有依法进行询问、质疑投诉及相关渠道和要求。</w:t>
      </w:r>
    </w:p>
    <w:p w14:paraId="7D8882CD">
      <w:pPr>
        <w:spacing w:line="360" w:lineRule="auto"/>
        <w:ind w:firstLine="456"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2.投标人在投标之前已经与贵方进行了充分的沟通，完全理解并接受招标文件的各项规定和要求，对招标文件的合理性、合法性不再有异议。</w:t>
      </w:r>
    </w:p>
    <w:p w14:paraId="1787D8E6">
      <w:pPr>
        <w:spacing w:line="360" w:lineRule="auto"/>
        <w:ind w:firstLine="456"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3.投标有效期自提交投标文件的截止之日起</w:t>
      </w:r>
      <w:r>
        <w:rPr>
          <w:rFonts w:hint="eastAsia" w:ascii="宋体" w:hAnsi="宋体" w:eastAsia="宋体" w:cs="宋体"/>
          <w:bCs/>
          <w:spacing w:val="-6"/>
          <w:sz w:val="24"/>
          <w:highlight w:val="none"/>
          <w:u w:val="single"/>
        </w:rPr>
        <w:t xml:space="preserve"> 90</w:t>
      </w:r>
      <w:r>
        <w:rPr>
          <w:rFonts w:hint="eastAsia" w:ascii="宋体" w:hAnsi="宋体" w:eastAsia="宋体" w:cs="宋体"/>
          <w:spacing w:val="-6"/>
          <w:sz w:val="24"/>
          <w:highlight w:val="none"/>
        </w:rPr>
        <w:t>天。</w:t>
      </w:r>
    </w:p>
    <w:p w14:paraId="1104A658">
      <w:pPr>
        <w:spacing w:line="360" w:lineRule="auto"/>
        <w:ind w:firstLine="456"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4.如中标，本投标文件至本项目合同履行完毕止均保持有效，本投标人将按“招标文件”及相关法律、法规的规定履行合同责任和义务。</w:t>
      </w:r>
    </w:p>
    <w:p w14:paraId="70882396">
      <w:pPr>
        <w:spacing w:line="360" w:lineRule="auto"/>
        <w:ind w:firstLine="456"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5.投标人同意按照贵方要求提供与投标有关的一切数据或资料。</w:t>
      </w:r>
    </w:p>
    <w:p w14:paraId="68CAD45B">
      <w:pPr>
        <w:spacing w:line="360" w:lineRule="auto"/>
        <w:ind w:firstLine="456"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6.与本投标有关的一切正式往来信函请寄：</w:t>
      </w:r>
    </w:p>
    <w:p w14:paraId="55807913">
      <w:pPr>
        <w:spacing w:line="360" w:lineRule="auto"/>
        <w:rPr>
          <w:rFonts w:hint="eastAsia" w:ascii="宋体" w:hAnsi="宋体" w:eastAsia="宋体" w:cs="宋体"/>
          <w:spacing w:val="-6"/>
          <w:sz w:val="24"/>
          <w:highlight w:val="none"/>
        </w:rPr>
      </w:pPr>
      <w:r>
        <w:rPr>
          <w:rFonts w:hint="eastAsia" w:ascii="宋体" w:hAnsi="宋体" w:eastAsia="宋体" w:cs="宋体"/>
          <w:spacing w:val="-6"/>
          <w:sz w:val="24"/>
          <w:highlight w:val="none"/>
        </w:rPr>
        <w:t>地址：                                       邮编：</w:t>
      </w:r>
    </w:p>
    <w:p w14:paraId="649DBB2B">
      <w:pPr>
        <w:spacing w:line="360" w:lineRule="auto"/>
        <w:rPr>
          <w:rFonts w:hint="eastAsia" w:ascii="宋体" w:hAnsi="宋体" w:eastAsia="宋体" w:cs="宋体"/>
          <w:spacing w:val="-6"/>
          <w:sz w:val="24"/>
          <w:highlight w:val="none"/>
          <w:u w:val="single"/>
        </w:rPr>
      </w:pPr>
      <w:r>
        <w:rPr>
          <w:rFonts w:hint="eastAsia" w:ascii="宋体" w:hAnsi="宋体" w:eastAsia="宋体" w:cs="宋体"/>
          <w:spacing w:val="-6"/>
          <w:sz w:val="24"/>
          <w:highlight w:val="none"/>
        </w:rPr>
        <w:t xml:space="preserve">电话：                                       传真：                         </w:t>
      </w:r>
    </w:p>
    <w:p w14:paraId="4123FAFD">
      <w:pPr>
        <w:spacing w:line="360" w:lineRule="auto"/>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投标人代表姓名：                             职务：                        </w:t>
      </w:r>
    </w:p>
    <w:p w14:paraId="097F9E4E">
      <w:pPr>
        <w:spacing w:line="360" w:lineRule="auto"/>
        <w:rPr>
          <w:rFonts w:hint="eastAsia" w:ascii="宋体" w:hAnsi="宋体" w:eastAsia="宋体" w:cs="宋体"/>
          <w:spacing w:val="-6"/>
          <w:sz w:val="24"/>
          <w:highlight w:val="none"/>
        </w:rPr>
      </w:pPr>
      <w:r>
        <w:rPr>
          <w:rFonts w:hint="eastAsia" w:ascii="宋体" w:hAnsi="宋体" w:eastAsia="宋体" w:cs="宋体"/>
          <w:spacing w:val="-6"/>
          <w:sz w:val="24"/>
          <w:highlight w:val="none"/>
        </w:rPr>
        <w:t>开户银行：</w:t>
      </w:r>
    </w:p>
    <w:p w14:paraId="35915165">
      <w:pPr>
        <w:spacing w:line="360" w:lineRule="auto"/>
        <w:rPr>
          <w:rFonts w:hint="eastAsia" w:ascii="宋体" w:hAnsi="宋体" w:eastAsia="宋体" w:cs="宋体"/>
          <w:spacing w:val="-6"/>
          <w:sz w:val="24"/>
          <w:highlight w:val="none"/>
        </w:rPr>
      </w:pPr>
      <w:r>
        <w:rPr>
          <w:rFonts w:hint="eastAsia" w:ascii="宋体" w:hAnsi="宋体" w:eastAsia="宋体" w:cs="宋体"/>
          <w:spacing w:val="-6"/>
          <w:sz w:val="24"/>
          <w:highlight w:val="none"/>
        </w:rPr>
        <w:t>银行帐号：</w:t>
      </w:r>
    </w:p>
    <w:p w14:paraId="6F0629EC">
      <w:pPr>
        <w:spacing w:line="360" w:lineRule="auto"/>
        <w:rPr>
          <w:rFonts w:hint="eastAsia" w:ascii="宋体" w:hAnsi="宋体" w:eastAsia="宋体" w:cs="宋体"/>
          <w:spacing w:val="-6"/>
          <w:sz w:val="24"/>
          <w:highlight w:val="none"/>
        </w:rPr>
      </w:pPr>
    </w:p>
    <w:p w14:paraId="63050A64">
      <w:pPr>
        <w:spacing w:line="360" w:lineRule="auto"/>
        <w:rPr>
          <w:rFonts w:hint="eastAsia" w:ascii="宋体" w:hAnsi="宋体" w:eastAsia="宋体" w:cs="宋体"/>
          <w:spacing w:val="-6"/>
          <w:sz w:val="24"/>
          <w:highlight w:val="none"/>
        </w:rPr>
      </w:pPr>
      <w:r>
        <w:rPr>
          <w:rFonts w:hint="eastAsia" w:ascii="宋体" w:hAnsi="宋体" w:eastAsia="宋体" w:cs="宋体"/>
          <w:spacing w:val="-6"/>
          <w:sz w:val="24"/>
          <w:highlight w:val="none"/>
        </w:rPr>
        <w:t>投标人名称（盖章）：</w:t>
      </w:r>
    </w:p>
    <w:p w14:paraId="0B77C3A7">
      <w:pPr>
        <w:spacing w:line="360" w:lineRule="auto"/>
        <w:rPr>
          <w:rFonts w:hint="eastAsia" w:ascii="宋体" w:hAnsi="宋体" w:eastAsia="宋体" w:cs="宋体"/>
          <w:spacing w:val="-6"/>
          <w:sz w:val="24"/>
          <w:highlight w:val="none"/>
        </w:rPr>
      </w:pPr>
      <w:r>
        <w:rPr>
          <w:rFonts w:hint="eastAsia" w:ascii="宋体" w:hAnsi="宋体" w:eastAsia="宋体" w:cs="宋体"/>
          <w:spacing w:val="-6"/>
          <w:sz w:val="24"/>
          <w:highlight w:val="none"/>
        </w:rPr>
        <w:t>投标人代表签字</w:t>
      </w:r>
      <w:r>
        <w:rPr>
          <w:rFonts w:hint="eastAsia" w:ascii="宋体" w:hAnsi="宋体" w:eastAsia="宋体" w:cs="宋体"/>
          <w:bCs/>
          <w:spacing w:val="-6"/>
          <w:sz w:val="24"/>
          <w:highlight w:val="none"/>
        </w:rPr>
        <w:t>：</w:t>
      </w:r>
    </w:p>
    <w:p w14:paraId="16D70A84">
      <w:pPr>
        <w:spacing w:line="360" w:lineRule="auto"/>
        <w:rPr>
          <w:rFonts w:hint="eastAsia" w:ascii="宋体" w:hAnsi="宋体" w:eastAsia="宋体" w:cs="宋体"/>
          <w:spacing w:val="-6"/>
          <w:sz w:val="24"/>
          <w:highlight w:val="none"/>
        </w:rPr>
      </w:pPr>
      <w:r>
        <w:rPr>
          <w:rFonts w:hint="eastAsia" w:ascii="宋体" w:hAnsi="宋体" w:eastAsia="宋体" w:cs="宋体"/>
          <w:bCs/>
          <w:spacing w:val="-6"/>
          <w:sz w:val="24"/>
          <w:highlight w:val="none"/>
        </w:rPr>
        <w:t>日期：  年  月  日</w:t>
      </w:r>
    </w:p>
    <w:p w14:paraId="0146F2EA">
      <w:pPr>
        <w:snapToGrid w:val="0"/>
        <w:spacing w:line="360" w:lineRule="auto"/>
        <w:jc w:val="center"/>
        <w:outlineLvl w:val="2"/>
        <w:rPr>
          <w:rFonts w:hint="eastAsia" w:ascii="宋体" w:hAnsi="宋体" w:eastAsia="宋体" w:cs="宋体"/>
          <w:b/>
          <w:spacing w:val="-6"/>
          <w:sz w:val="24"/>
          <w:highlight w:val="none"/>
        </w:rPr>
      </w:pPr>
      <w:r>
        <w:rPr>
          <w:rFonts w:hint="eastAsia" w:ascii="宋体" w:hAnsi="宋体" w:eastAsia="宋体" w:cs="宋体"/>
          <w:b/>
          <w:spacing w:val="-6"/>
          <w:sz w:val="24"/>
          <w:highlight w:val="none"/>
        </w:rPr>
        <w:br w:type="page"/>
      </w:r>
      <w:r>
        <w:rPr>
          <w:rFonts w:hint="eastAsia" w:ascii="宋体" w:hAnsi="宋体" w:eastAsia="宋体" w:cs="宋体"/>
          <w:b/>
          <w:spacing w:val="-6"/>
          <w:sz w:val="24"/>
          <w:highlight w:val="none"/>
        </w:rPr>
        <w:t>企业负责人资格证明书</w:t>
      </w:r>
    </w:p>
    <w:p w14:paraId="254003E0">
      <w:pPr>
        <w:spacing w:line="360" w:lineRule="auto"/>
        <w:rPr>
          <w:rFonts w:hint="eastAsia" w:ascii="宋体" w:hAnsi="宋体" w:eastAsia="宋体" w:cs="宋体"/>
          <w:bCs/>
          <w:spacing w:val="-6"/>
          <w:sz w:val="24"/>
          <w:highlight w:val="none"/>
        </w:rPr>
      </w:pPr>
      <w:r>
        <w:rPr>
          <w:rFonts w:hint="eastAsia" w:ascii="宋体" w:hAnsi="宋体" w:eastAsia="宋体" w:cs="宋体"/>
          <w:bCs/>
          <w:spacing w:val="-6"/>
          <w:sz w:val="24"/>
          <w:highlight w:val="none"/>
        </w:rPr>
        <w:t>致：</w:t>
      </w:r>
      <w:r>
        <w:rPr>
          <w:rFonts w:hint="eastAsia" w:ascii="宋体" w:hAnsi="宋体" w:eastAsia="宋体" w:cs="宋体"/>
          <w:bCs/>
          <w:spacing w:val="-6"/>
          <w:sz w:val="24"/>
          <w:highlight w:val="none"/>
          <w:lang w:eastAsia="zh-CN"/>
        </w:rPr>
        <w:t>浙江经贸职业技术学院</w:t>
      </w:r>
      <w:r>
        <w:rPr>
          <w:rFonts w:hint="eastAsia" w:ascii="宋体" w:hAnsi="宋体" w:eastAsia="宋体" w:cs="宋体"/>
          <w:bCs/>
          <w:spacing w:val="-6"/>
          <w:sz w:val="24"/>
          <w:highlight w:val="none"/>
        </w:rPr>
        <w:t>、</w:t>
      </w:r>
      <w:r>
        <w:rPr>
          <w:rFonts w:hint="eastAsia" w:ascii="宋体" w:hAnsi="宋体" w:cs="宋体"/>
          <w:bCs/>
          <w:spacing w:val="-6"/>
          <w:sz w:val="24"/>
          <w:highlight w:val="none"/>
          <w:lang w:eastAsia="zh-CN"/>
        </w:rPr>
        <w:t>浙江致信招标代理有限公司</w:t>
      </w:r>
      <w:r>
        <w:rPr>
          <w:rFonts w:hint="eastAsia" w:ascii="宋体" w:hAnsi="宋体" w:eastAsia="宋体" w:cs="宋体"/>
          <w:bCs/>
          <w:spacing w:val="-6"/>
          <w:sz w:val="24"/>
          <w:highlight w:val="none"/>
        </w:rPr>
        <w:t>：</w:t>
      </w:r>
    </w:p>
    <w:p w14:paraId="7A0A8848">
      <w:pPr>
        <w:spacing w:line="360" w:lineRule="auto"/>
        <w:ind w:firstLine="456" w:firstLineChars="200"/>
        <w:rPr>
          <w:rFonts w:hint="eastAsia" w:ascii="宋体" w:hAnsi="宋体" w:eastAsia="宋体" w:cs="宋体"/>
          <w:bCs/>
          <w:spacing w:val="-6"/>
          <w:sz w:val="24"/>
          <w:highlight w:val="none"/>
        </w:rPr>
      </w:pPr>
      <w:r>
        <w:rPr>
          <w:rFonts w:hint="eastAsia" w:ascii="宋体" w:hAnsi="宋体" w:eastAsia="宋体" w:cs="宋体"/>
          <w:bCs/>
          <w:spacing w:val="-6"/>
          <w:sz w:val="24"/>
          <w:highlight w:val="none"/>
        </w:rPr>
        <w:t>我</w:t>
      </w:r>
      <w:r>
        <w:rPr>
          <w:rFonts w:hint="eastAsia" w:ascii="宋体" w:hAnsi="宋体" w:eastAsia="宋体" w:cs="宋体"/>
          <w:bCs/>
          <w:spacing w:val="-6"/>
          <w:sz w:val="24"/>
          <w:highlight w:val="none"/>
          <w:u w:val="single"/>
        </w:rPr>
        <w:t xml:space="preserve">                （姓名）</w:t>
      </w:r>
      <w:r>
        <w:rPr>
          <w:rFonts w:hint="eastAsia" w:ascii="宋体" w:hAnsi="宋体" w:eastAsia="宋体" w:cs="宋体"/>
          <w:bCs/>
          <w:spacing w:val="-6"/>
          <w:sz w:val="24"/>
          <w:highlight w:val="none"/>
        </w:rPr>
        <w:t>系</w:t>
      </w:r>
      <w:r>
        <w:rPr>
          <w:rFonts w:hint="eastAsia" w:ascii="宋体" w:hAnsi="宋体" w:eastAsia="宋体" w:cs="宋体"/>
          <w:bCs/>
          <w:spacing w:val="-6"/>
          <w:sz w:val="24"/>
          <w:highlight w:val="none"/>
          <w:u w:val="single"/>
        </w:rPr>
        <w:t xml:space="preserve">                   （投标人名称）</w:t>
      </w:r>
      <w:r>
        <w:rPr>
          <w:rFonts w:hint="eastAsia" w:ascii="宋体" w:hAnsi="宋体" w:eastAsia="宋体" w:cs="宋体"/>
          <w:bCs/>
          <w:spacing w:val="-6"/>
          <w:sz w:val="24"/>
          <w:highlight w:val="none"/>
        </w:rPr>
        <w:t>的企业负责人，身份证号码：</w:t>
      </w:r>
      <w:r>
        <w:rPr>
          <w:rFonts w:hint="eastAsia" w:ascii="宋体" w:hAnsi="宋体" w:eastAsia="宋体" w:cs="宋体"/>
          <w:bCs/>
          <w:spacing w:val="-6"/>
          <w:sz w:val="24"/>
          <w:highlight w:val="none"/>
          <w:u w:val="single"/>
        </w:rPr>
        <w:t xml:space="preserve">                                           </w:t>
      </w:r>
      <w:r>
        <w:rPr>
          <w:rFonts w:hint="eastAsia" w:ascii="宋体" w:hAnsi="宋体" w:eastAsia="宋体" w:cs="宋体"/>
          <w:bCs/>
          <w:spacing w:val="-6"/>
          <w:sz w:val="24"/>
          <w:highlight w:val="none"/>
        </w:rPr>
        <w:t>。</w:t>
      </w:r>
    </w:p>
    <w:p w14:paraId="004EB316">
      <w:pPr>
        <w:spacing w:line="360" w:lineRule="auto"/>
        <w:ind w:firstLine="456" w:firstLineChars="200"/>
        <w:rPr>
          <w:rFonts w:hint="eastAsia" w:ascii="宋体" w:hAnsi="宋体" w:eastAsia="宋体" w:cs="宋体"/>
          <w:bCs/>
          <w:spacing w:val="-6"/>
          <w:sz w:val="24"/>
          <w:highlight w:val="none"/>
        </w:rPr>
      </w:pPr>
      <w:r>
        <w:rPr>
          <w:rFonts w:hint="eastAsia" w:ascii="宋体" w:hAnsi="宋体" w:eastAsia="宋体" w:cs="宋体"/>
          <w:bCs/>
          <w:spacing w:val="-6"/>
          <w:sz w:val="24"/>
          <w:highlight w:val="none"/>
        </w:rPr>
        <w:t>特此证明。</w:t>
      </w:r>
    </w:p>
    <w:p w14:paraId="5CF30D06">
      <w:pPr>
        <w:spacing w:line="360" w:lineRule="auto"/>
        <w:rPr>
          <w:rFonts w:hint="eastAsia" w:ascii="宋体" w:hAnsi="宋体" w:eastAsia="宋体" w:cs="宋体"/>
          <w:bCs/>
          <w:spacing w:val="-6"/>
          <w:sz w:val="24"/>
          <w:highlight w:val="none"/>
        </w:rPr>
      </w:pPr>
    </w:p>
    <w:tbl>
      <w:tblPr>
        <w:tblStyle w:val="24"/>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6AD9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9498" w:type="dxa"/>
          </w:tcPr>
          <w:p w14:paraId="2A1BDBA4">
            <w:pPr>
              <w:keepNext w:val="0"/>
              <w:keepLines w:val="0"/>
              <w:suppressLineNumbers w:val="0"/>
              <w:spacing w:before="0" w:beforeAutospacing="0" w:after="0" w:afterAutospacing="0" w:line="360" w:lineRule="auto"/>
              <w:ind w:left="0" w:right="0"/>
              <w:rPr>
                <w:rFonts w:hint="eastAsia" w:ascii="宋体" w:hAnsi="宋体" w:eastAsia="宋体" w:cs="宋体"/>
                <w:sz w:val="24"/>
                <w:highlight w:val="none"/>
              </w:rPr>
            </w:pPr>
            <w:r>
              <w:rPr>
                <w:rFonts w:hint="eastAsia" w:ascii="宋体" w:hAnsi="宋体" w:eastAsia="宋体" w:cs="宋体"/>
                <w:sz w:val="24"/>
                <w:highlight w:val="none"/>
              </w:rPr>
              <w:t>企业负责人身份证：</w:t>
            </w:r>
          </w:p>
          <w:p w14:paraId="7C439059">
            <w:pPr>
              <w:keepNext w:val="0"/>
              <w:keepLines w:val="0"/>
              <w:suppressLineNumbers w:val="0"/>
              <w:spacing w:before="0" w:beforeAutospacing="0" w:after="0" w:afterAutospacing="0" w:line="360" w:lineRule="auto"/>
              <w:ind w:left="0" w:right="0"/>
              <w:rPr>
                <w:rFonts w:hint="eastAsia" w:ascii="宋体" w:hAnsi="宋体" w:eastAsia="宋体" w:cs="宋体"/>
                <w:sz w:val="24"/>
                <w:highlight w:val="none"/>
              </w:rPr>
            </w:pPr>
          </w:p>
          <w:p w14:paraId="592D48A4">
            <w:pPr>
              <w:keepNext w:val="0"/>
              <w:keepLines w:val="0"/>
              <w:suppressLineNumbers w:val="0"/>
              <w:spacing w:before="0" w:beforeAutospacing="0" w:after="0" w:afterAutospacing="0" w:line="360" w:lineRule="auto"/>
              <w:ind w:left="0" w:right="0"/>
              <w:rPr>
                <w:rFonts w:hint="eastAsia" w:ascii="宋体" w:hAnsi="宋体" w:eastAsia="宋体" w:cs="宋体"/>
                <w:sz w:val="24"/>
                <w:highlight w:val="none"/>
              </w:rPr>
            </w:pPr>
          </w:p>
          <w:p w14:paraId="19E36B95">
            <w:pPr>
              <w:keepNext w:val="0"/>
              <w:keepLines w:val="0"/>
              <w:suppressLineNumbers w:val="0"/>
              <w:spacing w:before="0" w:beforeAutospacing="0" w:after="0" w:afterAutospacing="0" w:line="360" w:lineRule="auto"/>
              <w:ind w:left="0" w:right="0"/>
              <w:rPr>
                <w:rFonts w:hint="eastAsia" w:ascii="宋体" w:hAnsi="宋体" w:eastAsia="宋体" w:cs="宋体"/>
                <w:sz w:val="24"/>
                <w:highlight w:val="none"/>
              </w:rPr>
            </w:pPr>
          </w:p>
          <w:p w14:paraId="607EDBA0">
            <w:pPr>
              <w:keepNext w:val="0"/>
              <w:keepLines w:val="0"/>
              <w:suppressLineNumbers w:val="0"/>
              <w:spacing w:before="0" w:beforeAutospacing="0" w:after="0" w:afterAutospacing="0" w:line="360" w:lineRule="auto"/>
              <w:ind w:left="0" w:right="0"/>
              <w:rPr>
                <w:rFonts w:hint="eastAsia" w:ascii="宋体" w:hAnsi="宋体" w:eastAsia="宋体" w:cs="宋体"/>
                <w:sz w:val="24"/>
                <w:highlight w:val="none"/>
              </w:rPr>
            </w:pPr>
          </w:p>
          <w:p w14:paraId="2158E840">
            <w:pPr>
              <w:keepNext w:val="0"/>
              <w:keepLines w:val="0"/>
              <w:suppressLineNumbers w:val="0"/>
              <w:spacing w:before="0" w:beforeAutospacing="0" w:after="0" w:afterAutospacing="0" w:line="360" w:lineRule="auto"/>
              <w:ind w:left="0" w:right="0"/>
              <w:rPr>
                <w:rFonts w:hint="eastAsia" w:ascii="宋体" w:hAnsi="宋体" w:eastAsia="宋体" w:cs="宋体"/>
                <w:sz w:val="24"/>
                <w:highlight w:val="none"/>
              </w:rPr>
            </w:pPr>
            <w:r>
              <w:rPr>
                <w:rFonts w:hint="eastAsia" w:ascii="宋体" w:hAnsi="宋体" w:eastAsia="宋体" w:cs="宋体"/>
                <w:sz w:val="24"/>
                <w:highlight w:val="none"/>
              </w:rPr>
              <w:t>扫描件粘贴处</w:t>
            </w:r>
          </w:p>
          <w:p w14:paraId="6B520467">
            <w:pPr>
              <w:keepNext w:val="0"/>
              <w:keepLines w:val="0"/>
              <w:suppressLineNumbers w:val="0"/>
              <w:spacing w:before="0" w:beforeAutospacing="0" w:after="0" w:afterAutospacing="0" w:line="360" w:lineRule="auto"/>
              <w:ind w:left="0" w:right="0"/>
              <w:rPr>
                <w:rFonts w:hint="eastAsia" w:ascii="宋体" w:hAnsi="宋体" w:eastAsia="宋体" w:cs="宋体"/>
                <w:bCs/>
                <w:spacing w:val="-6"/>
                <w:sz w:val="24"/>
                <w:highlight w:val="none"/>
              </w:rPr>
            </w:pPr>
          </w:p>
        </w:tc>
      </w:tr>
    </w:tbl>
    <w:p w14:paraId="483C3BDA">
      <w:pPr>
        <w:spacing w:line="360" w:lineRule="auto"/>
        <w:rPr>
          <w:rFonts w:hint="eastAsia" w:ascii="宋体" w:hAnsi="宋体" w:eastAsia="宋体" w:cs="宋体"/>
          <w:bCs/>
          <w:spacing w:val="-6"/>
          <w:sz w:val="24"/>
          <w:highlight w:val="none"/>
        </w:rPr>
      </w:pPr>
    </w:p>
    <w:p w14:paraId="006774A8">
      <w:pPr>
        <w:spacing w:line="360" w:lineRule="auto"/>
        <w:rPr>
          <w:rFonts w:hint="eastAsia" w:ascii="宋体" w:hAnsi="宋体" w:eastAsia="宋体" w:cs="宋体"/>
          <w:b/>
          <w:bCs/>
          <w:spacing w:val="-6"/>
          <w:sz w:val="24"/>
          <w:highlight w:val="none"/>
        </w:rPr>
      </w:pPr>
    </w:p>
    <w:p w14:paraId="27C33AD6">
      <w:pPr>
        <w:spacing w:line="360" w:lineRule="auto"/>
        <w:rPr>
          <w:rFonts w:hint="eastAsia" w:ascii="宋体" w:hAnsi="宋体" w:eastAsia="宋体" w:cs="宋体"/>
          <w:b/>
          <w:bCs/>
          <w:spacing w:val="-6"/>
          <w:sz w:val="24"/>
          <w:highlight w:val="none"/>
        </w:rPr>
      </w:pPr>
    </w:p>
    <w:p w14:paraId="5F9B2860">
      <w:pPr>
        <w:spacing w:line="360" w:lineRule="auto"/>
        <w:rPr>
          <w:rFonts w:hint="eastAsia" w:ascii="宋体" w:hAnsi="宋体" w:eastAsia="宋体" w:cs="宋体"/>
          <w:b/>
          <w:bCs/>
          <w:spacing w:val="-6"/>
          <w:sz w:val="24"/>
          <w:highlight w:val="none"/>
        </w:rPr>
      </w:pPr>
    </w:p>
    <w:p w14:paraId="0D253D84">
      <w:pPr>
        <w:spacing w:line="360" w:lineRule="auto"/>
        <w:rPr>
          <w:rFonts w:hint="eastAsia" w:ascii="宋体" w:hAnsi="宋体" w:eastAsia="宋体" w:cs="宋体"/>
          <w:b/>
          <w:bCs/>
          <w:spacing w:val="-6"/>
          <w:sz w:val="24"/>
          <w:highlight w:val="none"/>
        </w:rPr>
      </w:pPr>
    </w:p>
    <w:p w14:paraId="3AFCA8E7">
      <w:pPr>
        <w:spacing w:line="360" w:lineRule="auto"/>
        <w:rPr>
          <w:rFonts w:hint="eastAsia" w:ascii="宋体" w:hAnsi="宋体" w:eastAsia="宋体" w:cs="宋体"/>
          <w:spacing w:val="-6"/>
          <w:sz w:val="24"/>
          <w:highlight w:val="none"/>
        </w:rPr>
      </w:pPr>
      <w:r>
        <w:rPr>
          <w:rFonts w:hint="eastAsia" w:ascii="宋体" w:hAnsi="宋体" w:eastAsia="宋体" w:cs="宋体"/>
          <w:spacing w:val="-6"/>
          <w:sz w:val="24"/>
          <w:highlight w:val="none"/>
        </w:rPr>
        <w:t>投标人名称（盖章）：</w:t>
      </w:r>
    </w:p>
    <w:p w14:paraId="622B25AD">
      <w:pPr>
        <w:spacing w:line="360" w:lineRule="auto"/>
        <w:rPr>
          <w:rFonts w:hint="eastAsia" w:ascii="宋体" w:hAnsi="宋体" w:eastAsia="宋体" w:cs="宋体"/>
          <w:spacing w:val="-6"/>
          <w:sz w:val="24"/>
          <w:highlight w:val="none"/>
        </w:rPr>
      </w:pPr>
      <w:r>
        <w:rPr>
          <w:rFonts w:hint="eastAsia" w:ascii="宋体" w:hAnsi="宋体" w:eastAsia="宋体" w:cs="宋体"/>
          <w:bCs/>
          <w:spacing w:val="-6"/>
          <w:sz w:val="24"/>
          <w:highlight w:val="none"/>
        </w:rPr>
        <w:t>日期：  年  月  日</w:t>
      </w:r>
    </w:p>
    <w:p w14:paraId="549B6A3E">
      <w:pPr>
        <w:snapToGrid w:val="0"/>
        <w:spacing w:line="360" w:lineRule="auto"/>
        <w:jc w:val="center"/>
        <w:outlineLvl w:val="2"/>
        <w:rPr>
          <w:rFonts w:hint="eastAsia" w:ascii="宋体" w:hAnsi="宋体" w:eastAsia="宋体" w:cs="宋体"/>
          <w:b/>
          <w:spacing w:val="-6"/>
          <w:sz w:val="24"/>
          <w:highlight w:val="none"/>
        </w:rPr>
      </w:pPr>
      <w:r>
        <w:rPr>
          <w:rFonts w:hint="eastAsia" w:ascii="宋体" w:hAnsi="宋体" w:eastAsia="宋体" w:cs="宋体"/>
          <w:b/>
          <w:spacing w:val="-6"/>
          <w:sz w:val="24"/>
          <w:highlight w:val="none"/>
        </w:rPr>
        <w:br w:type="page"/>
      </w:r>
      <w:r>
        <w:rPr>
          <w:rFonts w:hint="eastAsia" w:ascii="宋体" w:hAnsi="宋体" w:eastAsia="宋体" w:cs="宋体"/>
          <w:b/>
          <w:spacing w:val="-6"/>
          <w:sz w:val="24"/>
          <w:highlight w:val="none"/>
        </w:rPr>
        <w:t>企业负责人授权委托书</w:t>
      </w:r>
    </w:p>
    <w:p w14:paraId="72A01CDE">
      <w:pPr>
        <w:spacing w:line="360" w:lineRule="auto"/>
        <w:rPr>
          <w:rFonts w:hint="eastAsia" w:ascii="宋体" w:hAnsi="宋体" w:eastAsia="宋体" w:cs="宋体"/>
          <w:b/>
          <w:bCs/>
          <w:spacing w:val="-6"/>
          <w:sz w:val="24"/>
          <w:highlight w:val="none"/>
        </w:rPr>
      </w:pPr>
      <w:r>
        <w:rPr>
          <w:rFonts w:hint="eastAsia" w:ascii="宋体" w:hAnsi="宋体" w:eastAsia="宋体" w:cs="宋体"/>
          <w:bCs/>
          <w:spacing w:val="-6"/>
          <w:sz w:val="24"/>
          <w:highlight w:val="none"/>
        </w:rPr>
        <w:t>致：</w:t>
      </w:r>
      <w:r>
        <w:rPr>
          <w:rFonts w:hint="eastAsia" w:ascii="宋体" w:hAnsi="宋体" w:eastAsia="宋体" w:cs="宋体"/>
          <w:bCs/>
          <w:spacing w:val="-6"/>
          <w:sz w:val="24"/>
          <w:highlight w:val="none"/>
          <w:lang w:eastAsia="zh-CN"/>
        </w:rPr>
        <w:t>浙江经贸职业技术学院</w:t>
      </w:r>
      <w:r>
        <w:rPr>
          <w:rFonts w:hint="eastAsia" w:ascii="宋体" w:hAnsi="宋体" w:eastAsia="宋体" w:cs="宋体"/>
          <w:bCs/>
          <w:spacing w:val="-6"/>
          <w:sz w:val="24"/>
          <w:highlight w:val="none"/>
        </w:rPr>
        <w:t>、</w:t>
      </w:r>
      <w:r>
        <w:rPr>
          <w:rFonts w:hint="eastAsia" w:ascii="宋体" w:hAnsi="宋体" w:cs="宋体"/>
          <w:bCs/>
          <w:spacing w:val="-6"/>
          <w:sz w:val="24"/>
          <w:highlight w:val="none"/>
          <w:lang w:eastAsia="zh-CN"/>
        </w:rPr>
        <w:t>浙江致信招标代理有限公司</w:t>
      </w:r>
      <w:r>
        <w:rPr>
          <w:rFonts w:hint="eastAsia" w:ascii="宋体" w:hAnsi="宋体" w:eastAsia="宋体" w:cs="宋体"/>
          <w:spacing w:val="-6"/>
          <w:sz w:val="24"/>
          <w:highlight w:val="none"/>
        </w:rPr>
        <w:t>：</w:t>
      </w:r>
    </w:p>
    <w:p w14:paraId="53C925BA">
      <w:pPr>
        <w:spacing w:line="360" w:lineRule="auto"/>
        <w:ind w:firstLine="456"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我</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（姓名）系</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 xml:space="preserve"> （投标人名称）的企业负责人，现授权委托本单位在职职工：</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（姓名），身份证号码：</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以我方的名义参加</w:t>
      </w:r>
      <w:r>
        <w:rPr>
          <w:rFonts w:hint="eastAsia" w:ascii="宋体" w:hAnsi="宋体" w:eastAsia="宋体" w:cs="宋体"/>
          <w:spacing w:val="-6"/>
          <w:sz w:val="24"/>
          <w:highlight w:val="none"/>
          <w:u w:val="single"/>
          <w:lang w:eastAsia="zh-CN"/>
        </w:rPr>
        <w:t>浙江经贸职业技术学院</w:t>
      </w:r>
      <w:r>
        <w:rPr>
          <w:rFonts w:hint="eastAsia" w:ascii="宋体" w:hAnsi="宋体" w:cs="宋体"/>
          <w:bCs/>
          <w:spacing w:val="-6"/>
          <w:sz w:val="24"/>
          <w:highlight w:val="none"/>
          <w:u w:val="single"/>
          <w:lang w:eastAsia="zh-CN"/>
        </w:rPr>
        <w:t>202</w:t>
      </w:r>
      <w:r>
        <w:rPr>
          <w:rFonts w:hint="eastAsia" w:ascii="宋体" w:hAnsi="宋体" w:cs="宋体"/>
          <w:bCs/>
          <w:spacing w:val="-6"/>
          <w:sz w:val="24"/>
          <w:highlight w:val="none"/>
          <w:u w:val="single"/>
          <w:lang w:val="en-US" w:eastAsia="zh-CN"/>
        </w:rPr>
        <w:t>6</w:t>
      </w:r>
      <w:r>
        <w:rPr>
          <w:rFonts w:hint="eastAsia" w:ascii="宋体" w:hAnsi="宋体" w:cs="宋体"/>
          <w:bCs/>
          <w:spacing w:val="-6"/>
          <w:sz w:val="24"/>
          <w:highlight w:val="none"/>
          <w:u w:val="single"/>
          <w:lang w:eastAsia="zh-CN"/>
        </w:rPr>
        <w:t>年第一期公款竞争性存放</w:t>
      </w:r>
      <w:r>
        <w:rPr>
          <w:rFonts w:hint="eastAsia" w:ascii="宋体" w:hAnsi="宋体" w:cs="宋体"/>
          <w:bCs/>
          <w:spacing w:val="-6"/>
          <w:sz w:val="24"/>
          <w:highlight w:val="none"/>
          <w:u w:val="single"/>
          <w:lang w:val="en-US" w:eastAsia="zh-CN"/>
        </w:rPr>
        <w:t>招标</w:t>
      </w:r>
      <w:r>
        <w:rPr>
          <w:rFonts w:hint="eastAsia" w:ascii="宋体" w:hAnsi="宋体" w:eastAsia="宋体" w:cs="宋体"/>
          <w:bCs/>
          <w:spacing w:val="-6"/>
          <w:sz w:val="24"/>
          <w:highlight w:val="none"/>
        </w:rPr>
        <w:t>项目</w:t>
      </w:r>
      <w:r>
        <w:rPr>
          <w:rFonts w:hint="eastAsia" w:ascii="宋体" w:hAnsi="宋体" w:eastAsia="宋体" w:cs="宋体"/>
          <w:spacing w:val="-6"/>
          <w:sz w:val="24"/>
          <w:highlight w:val="none"/>
        </w:rPr>
        <w:t>的投标活动，并代表我方全权办理针对上述项目的投标、开标、评标、签约等具体事务和签署相关文件。</w:t>
      </w:r>
    </w:p>
    <w:p w14:paraId="30910C7C">
      <w:pPr>
        <w:spacing w:line="360" w:lineRule="auto"/>
        <w:ind w:firstLine="456"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我方对被授权人的签名负全部责任。</w:t>
      </w:r>
    </w:p>
    <w:p w14:paraId="2A9384B0">
      <w:pPr>
        <w:spacing w:line="360" w:lineRule="auto"/>
        <w:ind w:firstLine="456"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在撤销授权的书面通知以前，本授权书一直有效。被授权人在授权书有效期内签署的所有文件不因授权的撤销而失效。</w:t>
      </w:r>
    </w:p>
    <w:p w14:paraId="35E1D8B9">
      <w:pPr>
        <w:spacing w:line="360" w:lineRule="auto"/>
        <w:ind w:firstLine="456"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被授权人无转委托权，特此委托。</w:t>
      </w:r>
    </w:p>
    <w:p w14:paraId="29297B98">
      <w:pPr>
        <w:spacing w:line="360" w:lineRule="auto"/>
        <w:ind w:firstLine="424" w:firstLineChars="186"/>
        <w:rPr>
          <w:rFonts w:hint="eastAsia" w:ascii="宋体" w:hAnsi="宋体" w:eastAsia="宋体" w:cs="宋体"/>
          <w:spacing w:val="-6"/>
          <w:sz w:val="24"/>
          <w:highlight w:val="none"/>
        </w:rPr>
      </w:pPr>
    </w:p>
    <w:p w14:paraId="5AD2892B">
      <w:pPr>
        <w:spacing w:line="360" w:lineRule="auto"/>
        <w:ind w:firstLine="424" w:firstLineChars="186"/>
        <w:rPr>
          <w:rFonts w:hint="eastAsia" w:ascii="宋体" w:hAnsi="宋体" w:eastAsia="宋体" w:cs="宋体"/>
          <w:spacing w:val="-6"/>
          <w:sz w:val="24"/>
          <w:highlight w:val="none"/>
          <w:u w:val="single"/>
        </w:rPr>
      </w:pPr>
      <w:r>
        <w:rPr>
          <w:rFonts w:hint="eastAsia" w:ascii="宋体" w:hAnsi="宋体" w:eastAsia="宋体" w:cs="宋体"/>
          <w:spacing w:val="-6"/>
          <w:sz w:val="24"/>
          <w:highlight w:val="none"/>
        </w:rPr>
        <w:t>企业负责人（签字或盖章）：_________________________</w:t>
      </w:r>
    </w:p>
    <w:p w14:paraId="597DDCE0">
      <w:pPr>
        <w:spacing w:line="360" w:lineRule="auto"/>
        <w:ind w:firstLine="424" w:firstLineChars="186"/>
        <w:rPr>
          <w:rFonts w:hint="eastAsia" w:ascii="宋体" w:hAnsi="宋体" w:eastAsia="宋体" w:cs="宋体"/>
          <w:spacing w:val="-6"/>
          <w:sz w:val="24"/>
          <w:highlight w:val="none"/>
        </w:rPr>
      </w:pPr>
    </w:p>
    <w:p w14:paraId="534391EB">
      <w:pPr>
        <w:spacing w:line="360" w:lineRule="auto"/>
        <w:rPr>
          <w:rFonts w:hint="eastAsia" w:ascii="宋体" w:hAnsi="宋体" w:eastAsia="宋体" w:cs="宋体"/>
          <w:spacing w:val="-6"/>
          <w:sz w:val="24"/>
          <w:highlight w:val="none"/>
        </w:rPr>
      </w:pPr>
      <w:r>
        <w:rPr>
          <w:rFonts w:hint="eastAsia" w:ascii="宋体" w:hAnsi="宋体" w:eastAsia="宋体" w:cs="宋体"/>
          <w:spacing w:val="-6"/>
          <w:sz w:val="24"/>
          <w:highlight w:val="none"/>
        </w:rPr>
        <w:t>投标人名称（盖章）：</w:t>
      </w:r>
    </w:p>
    <w:p w14:paraId="17139609">
      <w:pPr>
        <w:spacing w:line="360" w:lineRule="auto"/>
        <w:rPr>
          <w:rFonts w:hint="eastAsia" w:ascii="宋体" w:hAnsi="宋体" w:eastAsia="宋体" w:cs="宋体"/>
          <w:bCs/>
          <w:spacing w:val="-6"/>
          <w:sz w:val="24"/>
          <w:highlight w:val="none"/>
        </w:rPr>
      </w:pPr>
      <w:r>
        <w:rPr>
          <w:rFonts w:hint="eastAsia" w:ascii="宋体" w:hAnsi="宋体" w:eastAsia="宋体" w:cs="宋体"/>
          <w:bCs/>
          <w:spacing w:val="-6"/>
          <w:sz w:val="24"/>
          <w:highlight w:val="none"/>
        </w:rPr>
        <w:t>日期：  年  月  日</w:t>
      </w:r>
    </w:p>
    <w:p w14:paraId="49079F63">
      <w:pPr>
        <w:spacing w:line="360" w:lineRule="auto"/>
        <w:rPr>
          <w:rFonts w:hint="eastAsia" w:ascii="宋体" w:hAnsi="宋体" w:eastAsia="宋体" w:cs="宋体"/>
          <w:spacing w:val="-6"/>
          <w:sz w:val="24"/>
          <w:highlight w:val="none"/>
        </w:rPr>
      </w:pPr>
    </w:p>
    <w:tbl>
      <w:tblPr>
        <w:tblStyle w:val="24"/>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5D2E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9639" w:type="dxa"/>
          </w:tcPr>
          <w:p w14:paraId="3D5BCA58">
            <w:pPr>
              <w:keepNext w:val="0"/>
              <w:keepLines w:val="0"/>
              <w:suppressLineNumbers w:val="0"/>
              <w:spacing w:before="0" w:beforeAutospacing="0" w:after="0" w:afterAutospacing="0" w:line="360" w:lineRule="auto"/>
              <w:ind w:left="0" w:right="0"/>
              <w:rPr>
                <w:rFonts w:hint="eastAsia" w:ascii="宋体" w:hAnsi="宋体" w:eastAsia="宋体" w:cs="宋体"/>
                <w:sz w:val="24"/>
                <w:highlight w:val="none"/>
              </w:rPr>
            </w:pPr>
            <w:r>
              <w:rPr>
                <w:rFonts w:hint="eastAsia" w:ascii="宋体" w:hAnsi="宋体" w:eastAsia="宋体" w:cs="宋体"/>
                <w:sz w:val="24"/>
                <w:highlight w:val="none"/>
              </w:rPr>
              <w:t>授权代表身份证：</w:t>
            </w:r>
          </w:p>
          <w:p w14:paraId="46016DE2">
            <w:pPr>
              <w:keepNext w:val="0"/>
              <w:keepLines w:val="0"/>
              <w:suppressLineNumbers w:val="0"/>
              <w:spacing w:before="0" w:beforeAutospacing="0" w:after="0" w:afterAutospacing="0" w:line="360" w:lineRule="auto"/>
              <w:ind w:left="0" w:right="0"/>
              <w:rPr>
                <w:rFonts w:hint="eastAsia" w:ascii="宋体" w:hAnsi="宋体" w:eastAsia="宋体" w:cs="宋体"/>
                <w:sz w:val="24"/>
                <w:highlight w:val="none"/>
              </w:rPr>
            </w:pPr>
          </w:p>
          <w:p w14:paraId="6124CD7E">
            <w:pPr>
              <w:keepNext w:val="0"/>
              <w:keepLines w:val="0"/>
              <w:suppressLineNumbers w:val="0"/>
              <w:spacing w:before="0" w:beforeAutospacing="0" w:after="0" w:afterAutospacing="0" w:line="360" w:lineRule="auto"/>
              <w:ind w:left="0" w:right="0"/>
              <w:rPr>
                <w:rFonts w:hint="eastAsia" w:ascii="宋体" w:hAnsi="宋体" w:eastAsia="宋体" w:cs="宋体"/>
                <w:sz w:val="24"/>
                <w:highlight w:val="none"/>
              </w:rPr>
            </w:pPr>
          </w:p>
          <w:p w14:paraId="02E7D00B">
            <w:pPr>
              <w:keepNext w:val="0"/>
              <w:keepLines w:val="0"/>
              <w:suppressLineNumbers w:val="0"/>
              <w:spacing w:before="0" w:beforeAutospacing="0" w:after="0" w:afterAutospacing="0" w:line="360" w:lineRule="auto"/>
              <w:ind w:left="0" w:right="0"/>
              <w:rPr>
                <w:rFonts w:hint="eastAsia" w:ascii="宋体" w:hAnsi="宋体" w:eastAsia="宋体" w:cs="宋体"/>
                <w:sz w:val="24"/>
                <w:highlight w:val="none"/>
              </w:rPr>
            </w:pPr>
          </w:p>
          <w:p w14:paraId="5E8C8818">
            <w:pPr>
              <w:keepNext w:val="0"/>
              <w:keepLines w:val="0"/>
              <w:suppressLineNumbers w:val="0"/>
              <w:spacing w:before="0" w:beforeAutospacing="0" w:after="0" w:afterAutospacing="0" w:line="360" w:lineRule="auto"/>
              <w:ind w:left="0" w:right="0"/>
              <w:rPr>
                <w:rFonts w:hint="eastAsia" w:ascii="宋体" w:hAnsi="宋体" w:eastAsia="宋体" w:cs="宋体"/>
                <w:sz w:val="24"/>
                <w:highlight w:val="none"/>
              </w:rPr>
            </w:pPr>
            <w:r>
              <w:rPr>
                <w:rFonts w:hint="eastAsia" w:ascii="宋体" w:hAnsi="宋体" w:eastAsia="宋体" w:cs="宋体"/>
                <w:sz w:val="24"/>
                <w:highlight w:val="none"/>
              </w:rPr>
              <w:t>扫描件粘贴处</w:t>
            </w:r>
          </w:p>
          <w:p w14:paraId="72D01D8A">
            <w:pPr>
              <w:keepNext w:val="0"/>
              <w:keepLines w:val="0"/>
              <w:suppressLineNumbers w:val="0"/>
              <w:spacing w:before="0" w:beforeAutospacing="0" w:after="0" w:afterAutospacing="0" w:line="360" w:lineRule="auto"/>
              <w:ind w:left="0" w:right="0"/>
              <w:rPr>
                <w:rFonts w:hint="eastAsia" w:ascii="宋体" w:hAnsi="宋体" w:eastAsia="宋体" w:cs="宋体"/>
                <w:spacing w:val="-6"/>
                <w:sz w:val="24"/>
                <w:highlight w:val="none"/>
              </w:rPr>
            </w:pPr>
          </w:p>
        </w:tc>
      </w:tr>
    </w:tbl>
    <w:p w14:paraId="54E42B8F">
      <w:pPr>
        <w:pStyle w:val="12"/>
        <w:spacing w:line="360" w:lineRule="auto"/>
        <w:rPr>
          <w:rFonts w:hint="eastAsia" w:ascii="宋体" w:hAnsi="宋体" w:eastAsia="宋体" w:cs="宋体"/>
          <w:b/>
          <w:spacing w:val="-6"/>
          <w:highlight w:val="none"/>
        </w:rPr>
      </w:pPr>
    </w:p>
    <w:p w14:paraId="13049AF7">
      <w:pPr>
        <w:pStyle w:val="12"/>
        <w:spacing w:line="360" w:lineRule="auto"/>
        <w:rPr>
          <w:rFonts w:hint="eastAsia" w:ascii="宋体" w:hAnsi="宋体" w:eastAsia="宋体" w:cs="宋体"/>
          <w:b/>
          <w:spacing w:val="-6"/>
          <w:highlight w:val="none"/>
        </w:rPr>
      </w:pPr>
      <w:r>
        <w:rPr>
          <w:rFonts w:hint="eastAsia" w:ascii="宋体" w:hAnsi="宋体" w:eastAsia="宋体" w:cs="宋体"/>
          <w:b/>
          <w:spacing w:val="-6"/>
          <w:highlight w:val="none"/>
        </w:rPr>
        <w:t>说明：</w:t>
      </w:r>
    </w:p>
    <w:p w14:paraId="3FEAC9B9">
      <w:pPr>
        <w:pStyle w:val="12"/>
        <w:spacing w:line="360" w:lineRule="auto"/>
        <w:rPr>
          <w:rFonts w:hint="eastAsia" w:ascii="宋体" w:hAnsi="宋体" w:eastAsia="宋体" w:cs="宋体"/>
          <w:b/>
          <w:spacing w:val="-6"/>
          <w:highlight w:val="none"/>
        </w:rPr>
      </w:pPr>
      <w:r>
        <w:rPr>
          <w:rFonts w:hint="eastAsia" w:ascii="宋体" w:hAnsi="宋体" w:eastAsia="宋体" w:cs="宋体"/>
          <w:b/>
          <w:spacing w:val="-6"/>
          <w:highlight w:val="none"/>
        </w:rPr>
        <w:t>1.投标人的企业负责人参加投标，须在投标文件中提供：企业负责人资格证明书；</w:t>
      </w:r>
    </w:p>
    <w:p w14:paraId="0AF3F3EB">
      <w:pPr>
        <w:pStyle w:val="12"/>
        <w:spacing w:line="360" w:lineRule="auto"/>
        <w:rPr>
          <w:rFonts w:hint="eastAsia" w:ascii="宋体" w:hAnsi="宋体" w:eastAsia="宋体" w:cs="宋体"/>
          <w:b/>
          <w:spacing w:val="-6"/>
          <w:highlight w:val="none"/>
        </w:rPr>
      </w:pPr>
      <w:r>
        <w:rPr>
          <w:rFonts w:hint="eastAsia" w:ascii="宋体" w:hAnsi="宋体" w:eastAsia="宋体" w:cs="宋体"/>
          <w:b/>
          <w:spacing w:val="-6"/>
          <w:highlight w:val="none"/>
        </w:rPr>
        <w:t>2.投标人的企业负责人委托授权代表参加投标，须在投标文件中提供：企业负责人资格证明书和企业负责人授权委托书。</w:t>
      </w:r>
    </w:p>
    <w:p w14:paraId="55973F07">
      <w:pPr>
        <w:snapToGrid w:val="0"/>
        <w:spacing w:line="360" w:lineRule="auto"/>
        <w:jc w:val="center"/>
        <w:outlineLvl w:val="2"/>
        <w:rPr>
          <w:rFonts w:hint="eastAsia" w:ascii="宋体" w:hAnsi="宋体" w:eastAsia="宋体" w:cs="宋体"/>
          <w:b/>
          <w:spacing w:val="-6"/>
          <w:sz w:val="24"/>
          <w:highlight w:val="none"/>
        </w:rPr>
      </w:pPr>
      <w:r>
        <w:rPr>
          <w:rFonts w:hint="eastAsia" w:ascii="宋体" w:hAnsi="宋体" w:eastAsia="宋体" w:cs="宋体"/>
          <w:b/>
          <w:spacing w:val="-6"/>
          <w:sz w:val="24"/>
          <w:highlight w:val="none"/>
        </w:rPr>
        <w:br w:type="page"/>
      </w:r>
      <w:r>
        <w:rPr>
          <w:rFonts w:hint="eastAsia" w:ascii="宋体" w:hAnsi="宋体" w:eastAsia="宋体" w:cs="宋体"/>
          <w:b/>
          <w:spacing w:val="-6"/>
          <w:sz w:val="24"/>
          <w:highlight w:val="none"/>
        </w:rPr>
        <w:t>投标声明书</w:t>
      </w:r>
    </w:p>
    <w:p w14:paraId="613B5B40">
      <w:pPr>
        <w:spacing w:line="360" w:lineRule="auto"/>
        <w:rPr>
          <w:rFonts w:hint="eastAsia" w:ascii="宋体" w:hAnsi="宋体" w:eastAsia="宋体" w:cs="宋体"/>
          <w:spacing w:val="-6"/>
          <w:sz w:val="24"/>
          <w:highlight w:val="none"/>
        </w:rPr>
      </w:pPr>
      <w:r>
        <w:rPr>
          <w:rFonts w:hint="eastAsia" w:ascii="宋体" w:hAnsi="宋体" w:eastAsia="宋体" w:cs="宋体"/>
          <w:spacing w:val="-6"/>
          <w:sz w:val="24"/>
          <w:highlight w:val="none"/>
        </w:rPr>
        <w:t>致：</w:t>
      </w:r>
      <w:r>
        <w:rPr>
          <w:rFonts w:hint="eastAsia" w:ascii="宋体" w:hAnsi="宋体" w:cs="宋体"/>
          <w:spacing w:val="-6"/>
          <w:sz w:val="24"/>
          <w:highlight w:val="none"/>
          <w:lang w:eastAsia="zh-CN"/>
        </w:rPr>
        <w:t>浙江致信招标代理有限公司</w:t>
      </w:r>
      <w:r>
        <w:rPr>
          <w:rFonts w:hint="eastAsia" w:ascii="宋体" w:hAnsi="宋体" w:eastAsia="宋体" w:cs="宋体"/>
          <w:spacing w:val="-6"/>
          <w:sz w:val="24"/>
          <w:highlight w:val="none"/>
        </w:rPr>
        <w:t>：</w:t>
      </w:r>
    </w:p>
    <w:p w14:paraId="47AEBACA">
      <w:pPr>
        <w:spacing w:line="360" w:lineRule="auto"/>
        <w:ind w:firstLine="456"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（投标人名称）</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系中华人民共和国合法企业，经营地址</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w:t>
      </w:r>
    </w:p>
    <w:p w14:paraId="04AA97F0">
      <w:pPr>
        <w:spacing w:line="360" w:lineRule="auto"/>
        <w:ind w:firstLine="456"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我方愿意参加贵方组织的</w:t>
      </w:r>
      <w:r>
        <w:rPr>
          <w:rFonts w:hint="eastAsia" w:ascii="宋体" w:hAnsi="宋体" w:eastAsia="宋体" w:cs="宋体"/>
          <w:bCs/>
          <w:spacing w:val="-6"/>
          <w:sz w:val="24"/>
          <w:highlight w:val="none"/>
          <w:lang w:eastAsia="zh-CN"/>
        </w:rPr>
        <w:t>浙江经贸职业技术学院</w:t>
      </w:r>
      <w:r>
        <w:rPr>
          <w:rFonts w:hint="eastAsia" w:ascii="宋体" w:hAnsi="宋体" w:cs="宋体"/>
          <w:spacing w:val="-6"/>
          <w:sz w:val="24"/>
          <w:highlight w:val="none"/>
          <w:lang w:eastAsia="zh-CN"/>
        </w:rPr>
        <w:t>202</w:t>
      </w:r>
      <w:r>
        <w:rPr>
          <w:rFonts w:hint="eastAsia" w:ascii="宋体" w:hAnsi="宋体" w:cs="宋体"/>
          <w:spacing w:val="-6"/>
          <w:sz w:val="24"/>
          <w:highlight w:val="none"/>
          <w:lang w:val="en-US" w:eastAsia="zh-CN"/>
        </w:rPr>
        <w:t>6</w:t>
      </w:r>
      <w:r>
        <w:rPr>
          <w:rFonts w:hint="eastAsia" w:ascii="宋体" w:hAnsi="宋体" w:cs="宋体"/>
          <w:spacing w:val="-6"/>
          <w:sz w:val="24"/>
          <w:highlight w:val="none"/>
          <w:lang w:eastAsia="zh-CN"/>
        </w:rPr>
        <w:t>年第一期公款竞争性存放</w:t>
      </w:r>
      <w:r>
        <w:rPr>
          <w:rFonts w:hint="eastAsia" w:ascii="宋体" w:hAnsi="宋体" w:cs="宋体"/>
          <w:spacing w:val="-6"/>
          <w:sz w:val="24"/>
          <w:highlight w:val="none"/>
          <w:lang w:val="en-US" w:eastAsia="zh-CN"/>
        </w:rPr>
        <w:t>招标</w:t>
      </w:r>
      <w:r>
        <w:rPr>
          <w:rFonts w:hint="eastAsia" w:ascii="宋体" w:hAnsi="宋体" w:eastAsia="宋体" w:cs="宋体"/>
          <w:bCs/>
          <w:spacing w:val="-6"/>
          <w:sz w:val="24"/>
          <w:highlight w:val="none"/>
        </w:rPr>
        <w:t>项目</w:t>
      </w:r>
      <w:r>
        <w:rPr>
          <w:rFonts w:hint="eastAsia" w:ascii="宋体" w:hAnsi="宋体" w:eastAsia="宋体" w:cs="宋体"/>
          <w:spacing w:val="-6"/>
          <w:sz w:val="24"/>
          <w:highlight w:val="none"/>
        </w:rPr>
        <w:t>的投标，为便于贵方公正、择优地确定中标人及其服务，我方就本次投标有关事项郑重声明如下：</w:t>
      </w:r>
    </w:p>
    <w:p w14:paraId="6D278785">
      <w:pPr>
        <w:spacing w:line="360" w:lineRule="auto"/>
        <w:ind w:firstLine="456"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1.我方向贵方提交的所有投标文件、资料都是准确的和真实的；</w:t>
      </w:r>
    </w:p>
    <w:p w14:paraId="100685A7">
      <w:pPr>
        <w:spacing w:line="360" w:lineRule="auto"/>
        <w:ind w:firstLine="456"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2.我方不是招标人的附属机构；在获知本项目采购信息后，与招标人聘请的为此项目提供咨询服务的公司及其附属机构没有任何联系。</w:t>
      </w:r>
    </w:p>
    <w:p w14:paraId="1E8ABA92">
      <w:pPr>
        <w:pStyle w:val="10"/>
        <w:spacing w:line="360" w:lineRule="auto"/>
        <w:ind w:firstLine="456"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3.以上事项如有虚假或隐瞒，我方愿意承担一切后果和责任。</w:t>
      </w:r>
    </w:p>
    <w:p w14:paraId="6FCD1C00">
      <w:pPr>
        <w:pStyle w:val="75"/>
        <w:spacing w:line="360" w:lineRule="auto"/>
        <w:rPr>
          <w:rFonts w:hint="eastAsia" w:ascii="宋体" w:hAnsi="宋体" w:eastAsia="宋体" w:cs="宋体"/>
          <w:spacing w:val="-6"/>
          <w:szCs w:val="24"/>
          <w:highlight w:val="none"/>
        </w:rPr>
      </w:pPr>
    </w:p>
    <w:p w14:paraId="3FD682F7">
      <w:pPr>
        <w:pStyle w:val="75"/>
        <w:spacing w:line="360" w:lineRule="auto"/>
        <w:rPr>
          <w:rFonts w:hint="eastAsia" w:ascii="宋体" w:hAnsi="宋体" w:eastAsia="宋体" w:cs="宋体"/>
          <w:spacing w:val="-6"/>
          <w:szCs w:val="24"/>
          <w:highlight w:val="none"/>
        </w:rPr>
      </w:pPr>
    </w:p>
    <w:p w14:paraId="7B589C6F">
      <w:pPr>
        <w:pStyle w:val="75"/>
        <w:spacing w:line="360" w:lineRule="auto"/>
        <w:rPr>
          <w:rFonts w:hint="eastAsia" w:ascii="宋体" w:hAnsi="宋体" w:eastAsia="宋体" w:cs="宋体"/>
          <w:spacing w:val="-6"/>
          <w:szCs w:val="24"/>
          <w:highlight w:val="none"/>
        </w:rPr>
      </w:pPr>
    </w:p>
    <w:p w14:paraId="33B392C5">
      <w:pPr>
        <w:pStyle w:val="75"/>
        <w:spacing w:line="360" w:lineRule="auto"/>
        <w:rPr>
          <w:rFonts w:hint="eastAsia" w:ascii="宋体" w:hAnsi="宋体" w:eastAsia="宋体" w:cs="宋体"/>
          <w:spacing w:val="-6"/>
          <w:szCs w:val="24"/>
          <w:highlight w:val="none"/>
        </w:rPr>
      </w:pPr>
    </w:p>
    <w:p w14:paraId="0D0F9502">
      <w:pPr>
        <w:pStyle w:val="75"/>
        <w:spacing w:line="360" w:lineRule="auto"/>
        <w:rPr>
          <w:rFonts w:hint="eastAsia" w:ascii="宋体" w:hAnsi="宋体" w:eastAsia="宋体" w:cs="宋体"/>
          <w:spacing w:val="-6"/>
          <w:szCs w:val="24"/>
          <w:highlight w:val="none"/>
        </w:rPr>
      </w:pPr>
    </w:p>
    <w:p w14:paraId="233F836B">
      <w:pPr>
        <w:spacing w:line="360" w:lineRule="auto"/>
        <w:rPr>
          <w:rFonts w:hint="eastAsia" w:ascii="宋体" w:hAnsi="宋体" w:eastAsia="宋体" w:cs="宋体"/>
          <w:spacing w:val="-6"/>
          <w:sz w:val="24"/>
          <w:highlight w:val="none"/>
        </w:rPr>
      </w:pPr>
      <w:r>
        <w:rPr>
          <w:rFonts w:hint="eastAsia" w:ascii="宋体" w:hAnsi="宋体" w:eastAsia="宋体" w:cs="宋体"/>
          <w:spacing w:val="-6"/>
          <w:sz w:val="24"/>
          <w:highlight w:val="none"/>
        </w:rPr>
        <w:t>投标人名称（盖章）：</w:t>
      </w:r>
    </w:p>
    <w:p w14:paraId="5039E295">
      <w:pPr>
        <w:spacing w:line="360" w:lineRule="auto"/>
        <w:rPr>
          <w:rFonts w:hint="eastAsia" w:ascii="宋体" w:hAnsi="宋体" w:eastAsia="宋体" w:cs="宋体"/>
          <w:spacing w:val="-6"/>
          <w:sz w:val="24"/>
          <w:highlight w:val="none"/>
        </w:rPr>
      </w:pPr>
      <w:r>
        <w:rPr>
          <w:rFonts w:hint="eastAsia" w:ascii="宋体" w:hAnsi="宋体" w:eastAsia="宋体" w:cs="宋体"/>
          <w:spacing w:val="-6"/>
          <w:sz w:val="24"/>
          <w:highlight w:val="none"/>
        </w:rPr>
        <w:t>投标人代表签字：</w:t>
      </w:r>
    </w:p>
    <w:p w14:paraId="55DB8150">
      <w:pPr>
        <w:spacing w:line="360" w:lineRule="auto"/>
        <w:rPr>
          <w:rFonts w:hint="eastAsia" w:ascii="宋体" w:hAnsi="宋体" w:eastAsia="宋体" w:cs="宋体"/>
          <w:bCs/>
          <w:spacing w:val="-6"/>
          <w:sz w:val="24"/>
          <w:highlight w:val="none"/>
        </w:rPr>
      </w:pPr>
      <w:r>
        <w:rPr>
          <w:rFonts w:hint="eastAsia" w:ascii="宋体" w:hAnsi="宋体" w:eastAsia="宋体" w:cs="宋体"/>
          <w:bCs/>
          <w:spacing w:val="-6"/>
          <w:sz w:val="24"/>
          <w:highlight w:val="none"/>
        </w:rPr>
        <w:t>日期：  年  月  日</w:t>
      </w:r>
    </w:p>
    <w:p w14:paraId="549C134E">
      <w:pPr>
        <w:snapToGrid w:val="0"/>
        <w:spacing w:line="360" w:lineRule="auto"/>
        <w:jc w:val="center"/>
        <w:outlineLvl w:val="2"/>
        <w:rPr>
          <w:rFonts w:hint="eastAsia" w:ascii="宋体" w:hAnsi="宋体" w:eastAsia="宋体" w:cs="宋体"/>
          <w:b/>
          <w:spacing w:val="-6"/>
          <w:sz w:val="24"/>
          <w:highlight w:val="none"/>
        </w:rPr>
      </w:pPr>
      <w:r>
        <w:rPr>
          <w:rFonts w:hint="eastAsia" w:ascii="宋体" w:hAnsi="宋体" w:eastAsia="宋体" w:cs="宋体"/>
          <w:b/>
          <w:spacing w:val="-6"/>
          <w:sz w:val="24"/>
          <w:highlight w:val="none"/>
        </w:rPr>
        <w:br w:type="page"/>
      </w:r>
      <w:r>
        <w:rPr>
          <w:rFonts w:hint="eastAsia" w:ascii="宋体" w:hAnsi="宋体" w:eastAsia="宋体" w:cs="宋体"/>
          <w:b/>
          <w:spacing w:val="-6"/>
          <w:sz w:val="24"/>
          <w:highlight w:val="none"/>
        </w:rPr>
        <w:t>廉政承诺书</w:t>
      </w:r>
    </w:p>
    <w:p w14:paraId="2A6F42F5">
      <w:pPr>
        <w:spacing w:line="360" w:lineRule="auto"/>
        <w:rPr>
          <w:rFonts w:hint="eastAsia" w:ascii="宋体" w:hAnsi="宋体" w:eastAsia="宋体" w:cs="宋体"/>
          <w:sz w:val="24"/>
          <w:highlight w:val="none"/>
        </w:rPr>
      </w:pPr>
      <w:r>
        <w:rPr>
          <w:rFonts w:hint="eastAsia" w:ascii="宋体" w:hAnsi="宋体" w:eastAsia="宋体" w:cs="宋体"/>
          <w:sz w:val="24"/>
          <w:highlight w:val="none"/>
          <w:lang w:eastAsia="zh-CN"/>
        </w:rPr>
        <w:t>浙江经贸职业技术学院</w:t>
      </w:r>
      <w:r>
        <w:rPr>
          <w:rFonts w:hint="eastAsia" w:ascii="宋体" w:hAnsi="宋体" w:eastAsia="宋体" w:cs="宋体"/>
          <w:sz w:val="24"/>
          <w:highlight w:val="none"/>
        </w:rPr>
        <w:t>：</w:t>
      </w:r>
    </w:p>
    <w:p w14:paraId="6868C1A9">
      <w:pPr>
        <w:spacing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根据《财政部关于进一步加强财政部门和预算单位资金存放管理的指导意见》（财库〔2017〕76号）、《浙江省省级行政事业单位公款竞争性存放管理办法》（浙财预执〔2021〕7号）相关规定，现就本行参加贵单位</w:t>
      </w:r>
      <w:r>
        <w:rPr>
          <w:rFonts w:hint="eastAsia" w:ascii="宋体" w:hAnsi="宋体" w:cs="宋体"/>
          <w:sz w:val="24"/>
          <w:highlight w:val="none"/>
          <w:lang w:eastAsia="zh-CN"/>
        </w:rPr>
        <w:t>202</w:t>
      </w:r>
      <w:r>
        <w:rPr>
          <w:rFonts w:hint="eastAsia" w:ascii="宋体" w:hAnsi="宋体" w:cs="宋体"/>
          <w:sz w:val="24"/>
          <w:highlight w:val="none"/>
          <w:lang w:val="en-US" w:eastAsia="zh-CN"/>
        </w:rPr>
        <w:t>6</w:t>
      </w:r>
      <w:r>
        <w:rPr>
          <w:rFonts w:hint="eastAsia" w:ascii="宋体" w:hAnsi="宋体" w:cs="宋体"/>
          <w:sz w:val="24"/>
          <w:highlight w:val="none"/>
          <w:lang w:eastAsia="zh-CN"/>
        </w:rPr>
        <w:t>年第一期公款竞争性存放</w:t>
      </w:r>
      <w:r>
        <w:rPr>
          <w:rFonts w:hint="eastAsia" w:ascii="宋体" w:hAnsi="宋体" w:eastAsia="宋体" w:cs="宋体"/>
          <w:sz w:val="24"/>
          <w:highlight w:val="none"/>
        </w:rPr>
        <w:t>作出如下承诺：</w:t>
      </w:r>
    </w:p>
    <w:p w14:paraId="609E5342">
      <w:pPr>
        <w:spacing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1.不向贵单位负责公款存放管理的领导及相关人员进行利益输送；</w:t>
      </w:r>
    </w:p>
    <w:p w14:paraId="39C5AC9F">
      <w:pPr>
        <w:spacing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2.不将公款存放与贵单位负责公款存放管理的领导及相关人员在本行的配偶、子女及其配偶和其他直接利益相关人员的业绩、收入、晋升等利益挂钩；</w:t>
      </w:r>
    </w:p>
    <w:p w14:paraId="3AF2817B">
      <w:pPr>
        <w:spacing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3.严格执行利益回避制度，贵单位负责公款竞争性存放相关人员的配偶、子女及其配偶和其他直接利益相关人员为本行工作人员的，不参与公款竞争性存放工作；</w:t>
      </w:r>
    </w:p>
    <w:p w14:paraId="6D500188">
      <w:pPr>
        <w:spacing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4.不发生除上述行为之外的其他任何利益输送行为。</w:t>
      </w:r>
    </w:p>
    <w:p w14:paraId="786824A2">
      <w:pPr>
        <w:spacing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未遵守以上承诺的，本行自愿接受财政部门通报和处理，承担相应的一切后果。</w:t>
      </w:r>
    </w:p>
    <w:p w14:paraId="16FE7272">
      <w:pPr>
        <w:spacing w:line="360" w:lineRule="auto"/>
        <w:ind w:firstLine="420"/>
        <w:rPr>
          <w:rFonts w:hint="eastAsia" w:ascii="宋体" w:hAnsi="宋体" w:eastAsia="宋体" w:cs="宋体"/>
          <w:sz w:val="24"/>
          <w:highlight w:val="none"/>
        </w:rPr>
      </w:pPr>
    </w:p>
    <w:p w14:paraId="09801225">
      <w:pPr>
        <w:spacing w:line="360" w:lineRule="auto"/>
        <w:ind w:firstLine="420"/>
        <w:rPr>
          <w:rFonts w:hint="eastAsia" w:ascii="宋体" w:hAnsi="宋体" w:eastAsia="宋体" w:cs="宋体"/>
          <w:sz w:val="24"/>
          <w:highlight w:val="none"/>
        </w:rPr>
      </w:pPr>
    </w:p>
    <w:p w14:paraId="7B691846">
      <w:pPr>
        <w:spacing w:line="360" w:lineRule="auto"/>
        <w:jc w:val="right"/>
        <w:rPr>
          <w:rFonts w:hint="eastAsia" w:ascii="宋体" w:hAnsi="宋体" w:eastAsia="宋体" w:cs="宋体"/>
          <w:sz w:val="24"/>
          <w:highlight w:val="none"/>
        </w:rPr>
      </w:pPr>
      <w:r>
        <w:rPr>
          <w:rFonts w:hint="eastAsia" w:ascii="宋体" w:hAnsi="宋体" w:eastAsia="宋体" w:cs="宋体"/>
          <w:sz w:val="24"/>
          <w:highlight w:val="none"/>
        </w:rPr>
        <w:t>银行（公章）</w:t>
      </w:r>
    </w:p>
    <w:p w14:paraId="58E478E7">
      <w:pPr>
        <w:spacing w:line="360" w:lineRule="auto"/>
        <w:jc w:val="right"/>
        <w:rPr>
          <w:rFonts w:hint="eastAsia" w:ascii="宋体" w:hAnsi="宋体" w:eastAsia="宋体" w:cs="宋体"/>
          <w:b/>
          <w:spacing w:val="-6"/>
          <w:sz w:val="24"/>
          <w:highlight w:val="none"/>
        </w:rPr>
      </w:pPr>
      <w:r>
        <w:rPr>
          <w:rFonts w:hint="eastAsia" w:ascii="宋体" w:hAnsi="宋体" w:eastAsia="宋体" w:cs="宋体"/>
          <w:sz w:val="24"/>
          <w:highlight w:val="none"/>
        </w:rPr>
        <w:t xml:space="preserve">   年   月   日</w:t>
      </w:r>
    </w:p>
    <w:p w14:paraId="1F33F419">
      <w:pPr>
        <w:spacing w:line="360" w:lineRule="auto"/>
        <w:jc w:val="center"/>
        <w:outlineLvl w:val="1"/>
        <w:rPr>
          <w:rFonts w:hint="eastAsia" w:ascii="宋体" w:hAnsi="宋体" w:eastAsia="宋体" w:cs="宋体"/>
          <w:b/>
          <w:spacing w:val="-6"/>
          <w:sz w:val="52"/>
          <w:szCs w:val="52"/>
          <w:highlight w:val="none"/>
        </w:rPr>
      </w:pPr>
      <w:r>
        <w:rPr>
          <w:rFonts w:hint="eastAsia" w:ascii="宋体" w:hAnsi="宋体" w:eastAsia="宋体" w:cs="宋体"/>
          <w:b/>
          <w:spacing w:val="-6"/>
          <w:sz w:val="24"/>
          <w:highlight w:val="none"/>
        </w:rPr>
        <w:br w:type="page"/>
      </w:r>
    </w:p>
    <w:p w14:paraId="2FF1FFBB">
      <w:pPr>
        <w:snapToGrid w:val="0"/>
        <w:spacing w:line="360" w:lineRule="auto"/>
        <w:jc w:val="center"/>
        <w:outlineLvl w:val="2"/>
        <w:rPr>
          <w:rFonts w:hint="eastAsia" w:ascii="宋体" w:hAnsi="宋体" w:eastAsia="宋体" w:cs="宋体"/>
          <w:b/>
          <w:spacing w:val="-6"/>
          <w:sz w:val="24"/>
          <w:highlight w:val="none"/>
        </w:rPr>
      </w:pPr>
      <w:r>
        <w:rPr>
          <w:rFonts w:hint="eastAsia" w:ascii="宋体" w:hAnsi="宋体" w:eastAsia="宋体" w:cs="宋体"/>
          <w:b/>
          <w:spacing w:val="-6"/>
          <w:sz w:val="24"/>
          <w:highlight w:val="none"/>
        </w:rPr>
        <w:t>服务承诺对照表</w:t>
      </w:r>
    </w:p>
    <w:p w14:paraId="0D5B90AC">
      <w:pPr>
        <w:spacing w:line="360" w:lineRule="auto"/>
        <w:rPr>
          <w:rFonts w:hint="eastAsia" w:ascii="宋体" w:hAnsi="宋体" w:eastAsia="宋体" w:cs="宋体"/>
          <w:spacing w:val="-6"/>
          <w:sz w:val="24"/>
          <w:highlight w:val="none"/>
        </w:rPr>
      </w:pPr>
    </w:p>
    <w:p w14:paraId="18C19F72">
      <w:pPr>
        <w:spacing w:line="360" w:lineRule="auto"/>
        <w:rPr>
          <w:rFonts w:hint="eastAsia" w:ascii="宋体" w:hAnsi="宋体" w:eastAsia="宋体" w:cs="宋体"/>
          <w:spacing w:val="-6"/>
          <w:sz w:val="24"/>
          <w:highlight w:val="none"/>
          <w:lang w:eastAsia="zh-CN"/>
        </w:rPr>
      </w:pPr>
      <w:r>
        <w:rPr>
          <w:rFonts w:hint="eastAsia" w:ascii="宋体" w:hAnsi="宋体" w:eastAsia="宋体" w:cs="宋体"/>
          <w:spacing w:val="-6"/>
          <w:sz w:val="24"/>
          <w:highlight w:val="none"/>
        </w:rPr>
        <w:t>招 标 人：</w:t>
      </w:r>
      <w:r>
        <w:rPr>
          <w:rFonts w:hint="eastAsia" w:ascii="宋体" w:hAnsi="宋体" w:eastAsia="宋体" w:cs="宋体"/>
          <w:spacing w:val="-6"/>
          <w:sz w:val="24"/>
          <w:highlight w:val="none"/>
          <w:lang w:eastAsia="zh-CN"/>
        </w:rPr>
        <w:t>浙江经贸职业技术学院</w:t>
      </w:r>
    </w:p>
    <w:p w14:paraId="3D75FD09">
      <w:pPr>
        <w:spacing w:line="360" w:lineRule="auto"/>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招标项目编号： </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551"/>
        <w:gridCol w:w="2552"/>
        <w:gridCol w:w="3424"/>
      </w:tblGrid>
      <w:tr w14:paraId="057E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Align w:val="center"/>
          </w:tcPr>
          <w:p w14:paraId="10BEBB3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spacing w:val="-6"/>
                <w:sz w:val="24"/>
                <w:highlight w:val="none"/>
              </w:rPr>
            </w:pPr>
            <w:r>
              <w:rPr>
                <w:rFonts w:hint="eastAsia" w:ascii="宋体" w:hAnsi="宋体" w:eastAsia="宋体" w:cs="宋体"/>
                <w:b/>
                <w:spacing w:val="-6"/>
                <w:sz w:val="24"/>
                <w:highlight w:val="none"/>
              </w:rPr>
              <w:t>项目</w:t>
            </w:r>
          </w:p>
        </w:tc>
        <w:tc>
          <w:tcPr>
            <w:tcW w:w="2551" w:type="dxa"/>
            <w:vAlign w:val="center"/>
          </w:tcPr>
          <w:p w14:paraId="3CD3509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spacing w:val="-6"/>
                <w:sz w:val="24"/>
                <w:highlight w:val="none"/>
              </w:rPr>
            </w:pPr>
            <w:r>
              <w:rPr>
                <w:rFonts w:hint="eastAsia" w:ascii="宋体" w:hAnsi="宋体" w:eastAsia="宋体" w:cs="宋体"/>
                <w:b/>
                <w:spacing w:val="-6"/>
                <w:sz w:val="24"/>
                <w:highlight w:val="none"/>
              </w:rPr>
              <w:t>招标文件要求</w:t>
            </w:r>
          </w:p>
        </w:tc>
        <w:tc>
          <w:tcPr>
            <w:tcW w:w="2552" w:type="dxa"/>
            <w:vAlign w:val="center"/>
          </w:tcPr>
          <w:p w14:paraId="5B44F8C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spacing w:val="-6"/>
                <w:sz w:val="24"/>
                <w:highlight w:val="none"/>
              </w:rPr>
            </w:pPr>
            <w:r>
              <w:rPr>
                <w:rFonts w:hint="eastAsia" w:ascii="宋体" w:hAnsi="宋体" w:eastAsia="宋体" w:cs="宋体"/>
                <w:b/>
                <w:spacing w:val="-6"/>
                <w:sz w:val="24"/>
                <w:highlight w:val="none"/>
              </w:rPr>
              <w:t>是否响应</w:t>
            </w:r>
          </w:p>
        </w:tc>
        <w:tc>
          <w:tcPr>
            <w:tcW w:w="3424" w:type="dxa"/>
            <w:vAlign w:val="center"/>
          </w:tcPr>
          <w:p w14:paraId="0EBAE75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spacing w:val="-6"/>
                <w:sz w:val="24"/>
                <w:highlight w:val="none"/>
              </w:rPr>
            </w:pPr>
            <w:r>
              <w:rPr>
                <w:rFonts w:hint="eastAsia" w:ascii="宋体" w:hAnsi="宋体" w:eastAsia="宋体" w:cs="宋体"/>
                <w:b/>
                <w:spacing w:val="-6"/>
                <w:sz w:val="24"/>
                <w:highlight w:val="none"/>
              </w:rPr>
              <w:t>投标人的承诺或说明</w:t>
            </w:r>
          </w:p>
        </w:tc>
      </w:tr>
      <w:tr w14:paraId="4AB2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8" w:type="dxa"/>
            <w:gridSpan w:val="4"/>
            <w:vAlign w:val="center"/>
          </w:tcPr>
          <w:p w14:paraId="04A1DEAF">
            <w:pPr>
              <w:keepNext w:val="0"/>
              <w:keepLines w:val="0"/>
              <w:suppressLineNumbers w:val="0"/>
              <w:snapToGrid w:val="0"/>
              <w:spacing w:before="0" w:beforeAutospacing="0" w:after="0" w:afterAutospacing="0" w:line="360" w:lineRule="auto"/>
              <w:ind w:left="0" w:right="0"/>
              <w:rPr>
                <w:rFonts w:hint="eastAsia" w:ascii="宋体" w:hAnsi="宋体" w:eastAsia="宋体" w:cs="宋体"/>
                <w:b/>
                <w:spacing w:val="-6"/>
                <w:sz w:val="24"/>
                <w:highlight w:val="none"/>
              </w:rPr>
            </w:pPr>
            <w:r>
              <w:rPr>
                <w:rFonts w:hint="eastAsia" w:ascii="宋体" w:hAnsi="宋体" w:eastAsia="宋体" w:cs="宋体"/>
                <w:b/>
                <w:spacing w:val="-6"/>
                <w:sz w:val="24"/>
                <w:highlight w:val="none"/>
              </w:rPr>
              <w:t>服务要求</w:t>
            </w:r>
          </w:p>
        </w:tc>
      </w:tr>
      <w:tr w14:paraId="0E51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Align w:val="center"/>
          </w:tcPr>
          <w:p w14:paraId="6623F7A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（一）</w:t>
            </w:r>
          </w:p>
        </w:tc>
        <w:tc>
          <w:tcPr>
            <w:tcW w:w="2551" w:type="dxa"/>
            <w:vAlign w:val="center"/>
          </w:tcPr>
          <w:p w14:paraId="7A7C1EF0">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c>
          <w:tcPr>
            <w:tcW w:w="2552" w:type="dxa"/>
            <w:vAlign w:val="center"/>
          </w:tcPr>
          <w:p w14:paraId="31F339B5">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c>
          <w:tcPr>
            <w:tcW w:w="3424" w:type="dxa"/>
            <w:vAlign w:val="center"/>
          </w:tcPr>
          <w:p w14:paraId="24EF2C35">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r>
      <w:tr w14:paraId="1666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Align w:val="center"/>
          </w:tcPr>
          <w:p w14:paraId="3D069A9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（二）</w:t>
            </w:r>
          </w:p>
        </w:tc>
        <w:tc>
          <w:tcPr>
            <w:tcW w:w="2551" w:type="dxa"/>
            <w:vAlign w:val="center"/>
          </w:tcPr>
          <w:p w14:paraId="1B6EF7A6">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c>
          <w:tcPr>
            <w:tcW w:w="2552" w:type="dxa"/>
            <w:vAlign w:val="center"/>
          </w:tcPr>
          <w:p w14:paraId="2D1E3113">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c>
          <w:tcPr>
            <w:tcW w:w="3424" w:type="dxa"/>
            <w:vAlign w:val="center"/>
          </w:tcPr>
          <w:p w14:paraId="43EB2506">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r>
      <w:tr w14:paraId="4A9F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Align w:val="center"/>
          </w:tcPr>
          <w:p w14:paraId="1C3DAEB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（三）</w:t>
            </w:r>
          </w:p>
        </w:tc>
        <w:tc>
          <w:tcPr>
            <w:tcW w:w="2551" w:type="dxa"/>
            <w:vAlign w:val="center"/>
          </w:tcPr>
          <w:p w14:paraId="6D75CC81">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c>
          <w:tcPr>
            <w:tcW w:w="2552" w:type="dxa"/>
            <w:vAlign w:val="center"/>
          </w:tcPr>
          <w:p w14:paraId="4482642D">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c>
          <w:tcPr>
            <w:tcW w:w="3424" w:type="dxa"/>
            <w:vAlign w:val="center"/>
          </w:tcPr>
          <w:p w14:paraId="56FCBFF5">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r>
      <w:tr w14:paraId="3F47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Align w:val="center"/>
          </w:tcPr>
          <w:p w14:paraId="546EFF5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（四）</w:t>
            </w:r>
          </w:p>
        </w:tc>
        <w:tc>
          <w:tcPr>
            <w:tcW w:w="2551" w:type="dxa"/>
            <w:vAlign w:val="center"/>
          </w:tcPr>
          <w:p w14:paraId="2B1D6FA6">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c>
          <w:tcPr>
            <w:tcW w:w="2552" w:type="dxa"/>
            <w:vAlign w:val="center"/>
          </w:tcPr>
          <w:p w14:paraId="4D2258E1">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c>
          <w:tcPr>
            <w:tcW w:w="3424" w:type="dxa"/>
            <w:vAlign w:val="center"/>
          </w:tcPr>
          <w:p w14:paraId="7FF465EA">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r>
      <w:tr w14:paraId="0D51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Align w:val="center"/>
          </w:tcPr>
          <w:p w14:paraId="104C880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（五）</w:t>
            </w:r>
          </w:p>
        </w:tc>
        <w:tc>
          <w:tcPr>
            <w:tcW w:w="2551" w:type="dxa"/>
            <w:vAlign w:val="center"/>
          </w:tcPr>
          <w:p w14:paraId="5AE39FEB">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c>
          <w:tcPr>
            <w:tcW w:w="2552" w:type="dxa"/>
            <w:vAlign w:val="center"/>
          </w:tcPr>
          <w:p w14:paraId="3C9AB31D">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c>
          <w:tcPr>
            <w:tcW w:w="3424" w:type="dxa"/>
            <w:vAlign w:val="center"/>
          </w:tcPr>
          <w:p w14:paraId="595B375B">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r>
      <w:tr w14:paraId="61E5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Align w:val="center"/>
          </w:tcPr>
          <w:p w14:paraId="1A4CCD1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（六）</w:t>
            </w:r>
          </w:p>
        </w:tc>
        <w:tc>
          <w:tcPr>
            <w:tcW w:w="2551" w:type="dxa"/>
            <w:vAlign w:val="center"/>
          </w:tcPr>
          <w:p w14:paraId="25C44706">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c>
          <w:tcPr>
            <w:tcW w:w="2552" w:type="dxa"/>
            <w:vAlign w:val="center"/>
          </w:tcPr>
          <w:p w14:paraId="29E1FC7E">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c>
          <w:tcPr>
            <w:tcW w:w="3424" w:type="dxa"/>
            <w:vAlign w:val="center"/>
          </w:tcPr>
          <w:p w14:paraId="189E6838">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r>
      <w:tr w14:paraId="4ED0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Align w:val="center"/>
          </w:tcPr>
          <w:p w14:paraId="6205A7B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（七）</w:t>
            </w:r>
          </w:p>
        </w:tc>
        <w:tc>
          <w:tcPr>
            <w:tcW w:w="2551" w:type="dxa"/>
            <w:vAlign w:val="center"/>
          </w:tcPr>
          <w:p w14:paraId="7D1B3334">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c>
          <w:tcPr>
            <w:tcW w:w="2552" w:type="dxa"/>
            <w:vAlign w:val="center"/>
          </w:tcPr>
          <w:p w14:paraId="72BBAD09">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c>
          <w:tcPr>
            <w:tcW w:w="3424" w:type="dxa"/>
            <w:vAlign w:val="center"/>
          </w:tcPr>
          <w:p w14:paraId="33F35131">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r>
      <w:tr w14:paraId="7E02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Align w:val="center"/>
          </w:tcPr>
          <w:p w14:paraId="0E91771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（八）</w:t>
            </w:r>
          </w:p>
        </w:tc>
        <w:tc>
          <w:tcPr>
            <w:tcW w:w="2551" w:type="dxa"/>
            <w:vAlign w:val="center"/>
          </w:tcPr>
          <w:p w14:paraId="11F1A103">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c>
          <w:tcPr>
            <w:tcW w:w="2552" w:type="dxa"/>
            <w:vAlign w:val="center"/>
          </w:tcPr>
          <w:p w14:paraId="72661869">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c>
          <w:tcPr>
            <w:tcW w:w="3424" w:type="dxa"/>
            <w:vAlign w:val="center"/>
          </w:tcPr>
          <w:p w14:paraId="72F847A0">
            <w:pPr>
              <w:keepNext w:val="0"/>
              <w:keepLines w:val="0"/>
              <w:suppressLineNumbers w:val="0"/>
              <w:snapToGrid w:val="0"/>
              <w:spacing w:before="0" w:beforeAutospacing="0" w:after="0" w:afterAutospacing="0" w:line="360" w:lineRule="auto"/>
              <w:ind w:left="0" w:right="0"/>
              <w:rPr>
                <w:rFonts w:hint="eastAsia" w:ascii="宋体" w:hAnsi="宋体" w:eastAsia="宋体" w:cs="宋体"/>
                <w:spacing w:val="-6"/>
                <w:sz w:val="24"/>
                <w:highlight w:val="none"/>
              </w:rPr>
            </w:pPr>
          </w:p>
        </w:tc>
      </w:tr>
    </w:tbl>
    <w:p w14:paraId="672DF34D">
      <w:pPr>
        <w:snapToGrid w:val="0"/>
        <w:spacing w:line="360" w:lineRule="auto"/>
        <w:jc w:val="center"/>
        <w:rPr>
          <w:rFonts w:hint="eastAsia" w:ascii="宋体" w:hAnsi="宋体" w:eastAsia="宋体" w:cs="宋体"/>
          <w:b/>
          <w:spacing w:val="-6"/>
          <w:sz w:val="24"/>
          <w:highlight w:val="none"/>
        </w:rPr>
      </w:pPr>
    </w:p>
    <w:p w14:paraId="72DC36BF">
      <w:pPr>
        <w:spacing w:line="360" w:lineRule="auto"/>
        <w:rPr>
          <w:rFonts w:hint="eastAsia" w:ascii="宋体" w:hAnsi="宋体" w:eastAsia="宋体" w:cs="宋体"/>
          <w:spacing w:val="-6"/>
          <w:sz w:val="24"/>
          <w:highlight w:val="none"/>
        </w:rPr>
      </w:pPr>
    </w:p>
    <w:p w14:paraId="16122275">
      <w:pPr>
        <w:spacing w:line="360" w:lineRule="auto"/>
        <w:rPr>
          <w:rFonts w:hint="eastAsia" w:ascii="宋体" w:hAnsi="宋体" w:eastAsia="宋体" w:cs="宋体"/>
          <w:spacing w:val="-6"/>
          <w:sz w:val="24"/>
          <w:highlight w:val="none"/>
        </w:rPr>
      </w:pPr>
    </w:p>
    <w:p w14:paraId="4DEF3FEA">
      <w:pPr>
        <w:spacing w:line="360" w:lineRule="auto"/>
        <w:rPr>
          <w:rFonts w:hint="eastAsia" w:ascii="宋体" w:hAnsi="宋体" w:eastAsia="宋体" w:cs="宋体"/>
          <w:spacing w:val="-6"/>
          <w:sz w:val="24"/>
          <w:highlight w:val="none"/>
        </w:rPr>
      </w:pPr>
      <w:r>
        <w:rPr>
          <w:rFonts w:hint="eastAsia" w:ascii="宋体" w:hAnsi="宋体" w:eastAsia="宋体" w:cs="宋体"/>
          <w:spacing w:val="-6"/>
          <w:sz w:val="24"/>
          <w:highlight w:val="none"/>
        </w:rPr>
        <w:t>投标人名称（盖章）：</w:t>
      </w:r>
    </w:p>
    <w:p w14:paraId="37A679FD">
      <w:pPr>
        <w:spacing w:line="360" w:lineRule="auto"/>
        <w:rPr>
          <w:rFonts w:hint="eastAsia" w:ascii="宋体" w:hAnsi="宋体" w:eastAsia="宋体" w:cs="宋体"/>
          <w:spacing w:val="-6"/>
          <w:sz w:val="24"/>
          <w:highlight w:val="none"/>
        </w:rPr>
      </w:pPr>
      <w:r>
        <w:rPr>
          <w:rFonts w:hint="eastAsia" w:ascii="宋体" w:hAnsi="宋体" w:eastAsia="宋体" w:cs="宋体"/>
          <w:spacing w:val="-6"/>
          <w:sz w:val="24"/>
          <w:highlight w:val="none"/>
        </w:rPr>
        <w:t>投标人代表签字：</w:t>
      </w:r>
    </w:p>
    <w:p w14:paraId="13F8B548">
      <w:pPr>
        <w:spacing w:line="360" w:lineRule="auto"/>
        <w:rPr>
          <w:rFonts w:hint="eastAsia" w:ascii="宋体" w:hAnsi="宋体" w:eastAsia="宋体" w:cs="宋体"/>
          <w:bCs/>
          <w:spacing w:val="-6"/>
          <w:sz w:val="24"/>
          <w:highlight w:val="none"/>
        </w:rPr>
      </w:pPr>
      <w:r>
        <w:rPr>
          <w:rFonts w:hint="eastAsia" w:ascii="宋体" w:hAnsi="宋体" w:eastAsia="宋体" w:cs="宋体"/>
          <w:bCs/>
          <w:spacing w:val="-6"/>
          <w:sz w:val="24"/>
          <w:highlight w:val="none"/>
        </w:rPr>
        <w:t>日期：  年  月  日</w:t>
      </w:r>
    </w:p>
    <w:p w14:paraId="29337C44">
      <w:pPr>
        <w:pStyle w:val="32"/>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251FC1DD">
      <w:pPr>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以下内容根据评分细则、格式自拟</w:t>
      </w:r>
    </w:p>
    <w:p w14:paraId="694AA340">
      <w:pPr>
        <w:snapToGrid w:val="0"/>
        <w:spacing w:line="360" w:lineRule="auto"/>
        <w:jc w:val="left"/>
        <w:rPr>
          <w:rFonts w:hint="eastAsia" w:ascii="宋体" w:hAnsi="宋体" w:eastAsia="宋体" w:cs="宋体"/>
          <w:b/>
          <w:sz w:val="24"/>
          <w:highlight w:val="none"/>
        </w:rPr>
      </w:pPr>
    </w:p>
    <w:p w14:paraId="53ADF516">
      <w:pPr>
        <w:snapToGrid w:val="0"/>
        <w:spacing w:line="360" w:lineRule="auto"/>
        <w:jc w:val="left"/>
        <w:rPr>
          <w:rFonts w:hint="eastAsia" w:ascii="宋体" w:hAnsi="宋体" w:eastAsia="宋体" w:cs="宋体"/>
          <w:b/>
          <w:sz w:val="24"/>
          <w:highlight w:val="none"/>
        </w:rPr>
      </w:pPr>
      <w:r>
        <w:rPr>
          <w:rFonts w:hint="eastAsia" w:ascii="宋体" w:hAnsi="宋体" w:eastAsia="宋体" w:cs="宋体"/>
          <w:b/>
          <w:sz w:val="24"/>
          <w:highlight w:val="none"/>
        </w:rPr>
        <w:t>以往金融服务支持情况（需经</w:t>
      </w:r>
      <w:r>
        <w:rPr>
          <w:rFonts w:hint="eastAsia" w:ascii="宋体" w:hAnsi="宋体" w:eastAsia="宋体" w:cs="宋体"/>
          <w:b/>
          <w:sz w:val="24"/>
          <w:highlight w:val="none"/>
          <w:lang w:eastAsia="zh-CN"/>
        </w:rPr>
        <w:t>浙江经贸职业技术学院</w:t>
      </w:r>
      <w:r>
        <w:rPr>
          <w:rFonts w:hint="eastAsia" w:ascii="宋体" w:hAnsi="宋体" w:eastAsia="宋体" w:cs="宋体"/>
          <w:b/>
          <w:sz w:val="24"/>
          <w:highlight w:val="none"/>
        </w:rPr>
        <w:t>认定）</w:t>
      </w:r>
    </w:p>
    <w:p w14:paraId="74A8368D">
      <w:pPr>
        <w:snapToGrid w:val="0"/>
        <w:spacing w:line="360" w:lineRule="auto"/>
        <w:jc w:val="left"/>
        <w:rPr>
          <w:rFonts w:hint="eastAsia" w:ascii="宋体" w:hAnsi="宋体" w:eastAsia="宋体" w:cs="宋体"/>
          <w:b/>
          <w:sz w:val="24"/>
          <w:highlight w:val="none"/>
        </w:rPr>
      </w:pPr>
      <w:r>
        <w:rPr>
          <w:rFonts w:hint="eastAsia" w:ascii="宋体" w:hAnsi="宋体" w:eastAsia="宋体" w:cs="宋体"/>
          <w:b/>
          <w:sz w:val="24"/>
          <w:highlight w:val="none"/>
        </w:rPr>
        <w:t>提前用款承诺</w:t>
      </w:r>
    </w:p>
    <w:p w14:paraId="4E1E95A4">
      <w:pPr>
        <w:snapToGrid w:val="0"/>
        <w:spacing w:line="360" w:lineRule="auto"/>
        <w:jc w:val="left"/>
        <w:rPr>
          <w:rFonts w:hint="eastAsia" w:ascii="宋体" w:hAnsi="宋体" w:eastAsia="宋体" w:cs="宋体"/>
          <w:b/>
          <w:sz w:val="24"/>
          <w:highlight w:val="none"/>
        </w:rPr>
      </w:pPr>
      <w:r>
        <w:rPr>
          <w:rFonts w:hint="eastAsia" w:ascii="宋体" w:hAnsi="宋体" w:eastAsia="宋体" w:cs="宋体"/>
          <w:b/>
          <w:sz w:val="24"/>
          <w:highlight w:val="none"/>
        </w:rPr>
        <w:t>服务方案及支持学校建设承诺</w:t>
      </w:r>
    </w:p>
    <w:p w14:paraId="28F6E7D7">
      <w:pPr>
        <w:pStyle w:val="32"/>
        <w:spacing w:line="360" w:lineRule="auto"/>
        <w:rPr>
          <w:rFonts w:hint="eastAsia" w:ascii="宋体" w:hAnsi="宋体" w:eastAsia="宋体" w:cs="宋体"/>
          <w:b/>
          <w:color w:val="auto"/>
          <w:highlight w:val="none"/>
        </w:rPr>
      </w:pPr>
    </w:p>
    <w:p w14:paraId="19026597">
      <w:pPr>
        <w:widowControl/>
        <w:spacing w:line="360" w:lineRule="auto"/>
        <w:jc w:val="left"/>
        <w:rPr>
          <w:rFonts w:hint="eastAsia" w:ascii="宋体" w:hAnsi="宋体" w:eastAsia="宋体" w:cs="宋体"/>
          <w:b/>
          <w:kern w:val="0"/>
          <w:sz w:val="24"/>
          <w:highlight w:val="none"/>
        </w:rPr>
      </w:pPr>
    </w:p>
    <w:sectPr>
      <w:footerReference r:id="rId4" w:type="default"/>
      <w:pgSz w:w="11906" w:h="16838"/>
      <w:pgMar w:top="1247" w:right="1247" w:bottom="1247" w:left="1247" w:header="1" w:footer="724"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000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Helvetica Neue Light">
    <w:altName w:val="Courier New"/>
    <w:panose1 w:val="00000000000000000000"/>
    <w:charset w:val="00"/>
    <w:family w:val="auto"/>
    <w:pitch w:val="default"/>
    <w:sig w:usb0="00000000" w:usb1="00000000" w:usb2="00000000" w:usb3="00000000" w:csb0="00000001" w:csb1="00000000"/>
  </w:font>
  <w:font w:name="ヒラギノ角ゴ Pro W3">
    <w:altName w:val="MS Gothic"/>
    <w:panose1 w:val="00000000000000000000"/>
    <w:charset w:val="80"/>
    <w:family w:val="auto"/>
    <w:pitch w:val="default"/>
    <w:sig w:usb0="00000000" w:usb1="00000000" w:usb2="07040001" w:usb3="00000000" w:csb0="00020000"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000020204"/>
    <w:charset w:val="86"/>
    <w:family w:val="roman"/>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A065">
    <w:pPr>
      <w:tabs>
        <w:tab w:val="left" w:pos="7417"/>
      </w:tabs>
      <w:rPr>
        <w:rFonts w:ascii="宋体" w:hAnsi="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E34D5">
    <w:pPr>
      <w:tabs>
        <w:tab w:val="left" w:pos="7417"/>
      </w:tabs>
      <w:jc w:val="center"/>
      <w:rPr>
        <w:rFonts w:ascii="宋体" w:hAnsi="宋体"/>
        <w:sz w:val="18"/>
        <w:szCs w:val="18"/>
      </w:rPr>
    </w:pP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ascii="宋体" w:hAnsi="宋体"/>
        <w:sz w:val="18"/>
        <w:szCs w:val="18"/>
        <w:lang w:val="zh-CN"/>
      </w:rPr>
      <w:t>16</w:t>
    </w:r>
    <w:r>
      <w:rPr>
        <w:rFonts w:ascii="宋体" w:hAnsi="宋体"/>
        <w:sz w:val="18"/>
        <w:szCs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4"/>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2"/>
    <w:multiLevelType w:val="multilevel"/>
    <w:tmpl w:val="00000002"/>
    <w:lvl w:ilvl="0" w:tentative="0">
      <w:start w:val="1"/>
      <w:numFmt w:val="japaneseCounting"/>
      <w:lvlText w:val="第%1章"/>
      <w:lvlJc w:val="left"/>
      <w:pPr>
        <w:tabs>
          <w:tab w:val="left" w:pos="1440"/>
        </w:tabs>
        <w:ind w:left="1440" w:hanging="1275"/>
      </w:pPr>
    </w:lvl>
    <w:lvl w:ilvl="1" w:tentative="0">
      <w:start w:val="1"/>
      <w:numFmt w:val="japaneseCounting"/>
      <w:lvlText w:val="%2、"/>
      <w:lvlJc w:val="left"/>
      <w:pPr>
        <w:tabs>
          <w:tab w:val="left" w:pos="1305"/>
        </w:tabs>
        <w:ind w:left="1305"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3"/>
    <w:multiLevelType w:val="singleLevel"/>
    <w:tmpl w:val="00000003"/>
    <w:lvl w:ilvl="0" w:tentative="0">
      <w:start w:val="1"/>
      <w:numFmt w:val="chineseCounting"/>
      <w:suff w:val="nothing"/>
      <w:lvlText w:val="%1、"/>
      <w:lvlJc w:val="left"/>
    </w:lvl>
  </w:abstractNum>
  <w:num w:numId="1">
    <w:abstractNumId w:val="0"/>
  </w:num>
  <w:num w:numId="2">
    <w:abstractNumId w:val="2"/>
    <w:lvlOverride w:ilvl="0">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trackRevisions w:val="1"/>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B61B4"/>
    <w:rsid w:val="11DC7A7D"/>
    <w:rsid w:val="14A33DD8"/>
    <w:rsid w:val="15337B56"/>
    <w:rsid w:val="17927BCC"/>
    <w:rsid w:val="22EB3FC4"/>
    <w:rsid w:val="23C4333D"/>
    <w:rsid w:val="248A76CC"/>
    <w:rsid w:val="28094EEC"/>
    <w:rsid w:val="2D0F4D53"/>
    <w:rsid w:val="327A2C6E"/>
    <w:rsid w:val="367130E2"/>
    <w:rsid w:val="39992301"/>
    <w:rsid w:val="3C0853FD"/>
    <w:rsid w:val="3DE23776"/>
    <w:rsid w:val="4518319E"/>
    <w:rsid w:val="50C7131D"/>
    <w:rsid w:val="5411167A"/>
    <w:rsid w:val="674E3CDE"/>
    <w:rsid w:val="6B871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5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5"/>
    <w:qFormat/>
    <w:uiPriority w:val="9"/>
    <w:pPr>
      <w:keepNext/>
      <w:keepLines/>
      <w:spacing w:before="260" w:after="260" w:line="416" w:lineRule="auto"/>
      <w:outlineLvl w:val="1"/>
    </w:pPr>
    <w:rPr>
      <w:rFonts w:ascii="Cambria" w:hAnsi="Cambria"/>
      <w:b/>
      <w:bCs/>
      <w:sz w:val="32"/>
      <w:szCs w:val="32"/>
    </w:rPr>
  </w:style>
  <w:style w:type="character" w:default="1" w:styleId="26">
    <w:name w:val="Default Paragraph Font"/>
    <w:qFormat/>
    <w:uiPriority w:val="1"/>
  </w:style>
  <w:style w:type="table" w:default="1" w:styleId="24">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List Number"/>
    <w:basedOn w:val="1"/>
    <w:qFormat/>
    <w:uiPriority w:val="0"/>
    <w:pPr>
      <w:widowControl/>
      <w:numPr>
        <w:ilvl w:val="0"/>
        <w:numId w:val="1"/>
      </w:numPr>
      <w:tabs>
        <w:tab w:val="clear" w:pos="720"/>
      </w:tabs>
      <w:spacing w:afterLines="50"/>
      <w:ind w:left="454" w:hanging="284"/>
      <w:jc w:val="left"/>
    </w:pPr>
    <w:rPr>
      <w:kern w:val="0"/>
      <w:sz w:val="24"/>
      <w:szCs w:val="20"/>
    </w:rPr>
  </w:style>
  <w:style w:type="paragraph" w:styleId="5">
    <w:name w:val="Normal Indent"/>
    <w:basedOn w:val="1"/>
    <w:link w:val="45"/>
    <w:qFormat/>
    <w:uiPriority w:val="0"/>
    <w:pPr>
      <w:ind w:firstLine="420"/>
    </w:pPr>
    <w:rPr>
      <w:sz w:val="21"/>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Document Map"/>
    <w:basedOn w:val="1"/>
    <w:link w:val="79"/>
    <w:qFormat/>
    <w:uiPriority w:val="99"/>
    <w:rPr>
      <w:rFonts w:ascii="宋体"/>
      <w:sz w:val="18"/>
      <w:szCs w:val="18"/>
    </w:rPr>
  </w:style>
  <w:style w:type="paragraph" w:styleId="8">
    <w:name w:val="annotation text"/>
    <w:basedOn w:val="1"/>
    <w:link w:val="53"/>
    <w:qFormat/>
    <w:uiPriority w:val="99"/>
    <w:pPr>
      <w:jc w:val="left"/>
    </w:pPr>
  </w:style>
  <w:style w:type="paragraph" w:styleId="9">
    <w:name w:val="Body Text"/>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10">
    <w:name w:val="Body Text Indent"/>
    <w:basedOn w:val="1"/>
    <w:next w:val="1"/>
    <w:link w:val="54"/>
    <w:qFormat/>
    <w:uiPriority w:val="0"/>
    <w:pPr>
      <w:spacing w:line="200" w:lineRule="atLeast"/>
      <w:ind w:firstLine="301"/>
    </w:pPr>
    <w:rPr>
      <w:rFonts w:ascii="宋体" w:hAnsi="Courier New"/>
      <w:spacing w:val="-4"/>
      <w:sz w:val="18"/>
      <w:szCs w:val="20"/>
    </w:rPr>
  </w:style>
  <w:style w:type="paragraph" w:styleId="11">
    <w:name w:val="List 2"/>
    <w:basedOn w:val="1"/>
    <w:qFormat/>
    <w:uiPriority w:val="99"/>
    <w:pPr>
      <w:ind w:left="100" w:leftChars="200" w:hanging="200" w:hangingChars="200"/>
      <w:contextualSpacing/>
    </w:pPr>
  </w:style>
  <w:style w:type="paragraph" w:styleId="12">
    <w:name w:val="Plain Text"/>
    <w:basedOn w:val="1"/>
    <w:link w:val="43"/>
    <w:qFormat/>
    <w:uiPriority w:val="0"/>
    <w:pPr>
      <w:spacing w:beforeLines="50" w:afterLines="50" w:line="400" w:lineRule="atLeast"/>
    </w:pPr>
    <w:rPr>
      <w:rFonts w:ascii="宋体" w:hAnsi="Courier New"/>
      <w:sz w:val="24"/>
    </w:rPr>
  </w:style>
  <w:style w:type="paragraph" w:styleId="13">
    <w:name w:val="Date"/>
    <w:basedOn w:val="1"/>
    <w:next w:val="1"/>
    <w:qFormat/>
    <w:uiPriority w:val="0"/>
    <w:pPr>
      <w:ind w:left="2500" w:leftChars="2500"/>
    </w:pPr>
    <w:rPr>
      <w:rFonts w:eastAsia="楷体_GB2312"/>
      <w:sz w:val="32"/>
      <w:szCs w:val="20"/>
    </w:rPr>
  </w:style>
  <w:style w:type="paragraph" w:styleId="14">
    <w:name w:val="Balloon Text"/>
    <w:basedOn w:val="1"/>
    <w:qFormat/>
    <w:uiPriority w:val="0"/>
    <w:rPr>
      <w:sz w:val="18"/>
      <w:szCs w:val="18"/>
    </w:rPr>
  </w:style>
  <w:style w:type="paragraph" w:styleId="15">
    <w:name w:val="footer"/>
    <w:basedOn w:val="1"/>
    <w:link w:val="35"/>
    <w:qFormat/>
    <w:uiPriority w:val="99"/>
    <w:pPr>
      <w:tabs>
        <w:tab w:val="center" w:pos="4153"/>
        <w:tab w:val="right" w:pos="8306"/>
      </w:tabs>
      <w:snapToGrid w:val="0"/>
      <w:jc w:val="left"/>
    </w:pPr>
    <w:rPr>
      <w:sz w:val="18"/>
      <w:szCs w:val="18"/>
    </w:rPr>
  </w:style>
  <w:style w:type="paragraph" w:styleId="16">
    <w:name w:val="header"/>
    <w:basedOn w:val="1"/>
    <w:qFormat/>
    <w:uiPriority w:val="0"/>
    <w:pPr>
      <w:tabs>
        <w:tab w:val="center" w:pos="4153"/>
        <w:tab w:val="right" w:pos="8306"/>
      </w:tabs>
      <w:snapToGrid w:val="0"/>
      <w:jc w:val="center"/>
    </w:pPr>
    <w:rPr>
      <w:sz w:val="18"/>
      <w:szCs w:val="18"/>
    </w:rPr>
  </w:style>
  <w:style w:type="paragraph" w:styleId="17">
    <w:name w:val="List"/>
    <w:basedOn w:val="1"/>
    <w:qFormat/>
    <w:uiPriority w:val="0"/>
    <w:pPr>
      <w:ind w:left="200" w:hanging="200" w:hangingChars="200"/>
    </w:pPr>
  </w:style>
  <w:style w:type="paragraph" w:styleId="18">
    <w:name w:val="Body Text 2"/>
    <w:basedOn w:val="1"/>
    <w:qFormat/>
    <w:uiPriority w:val="0"/>
    <w:pPr>
      <w:widowControl/>
      <w:snapToGrid w:val="0"/>
      <w:spacing w:before="50" w:afterLines="50" w:line="400" w:lineRule="atLeast"/>
      <w:jc w:val="left"/>
    </w:pPr>
    <w:rPr>
      <w:rFonts w:hint="eastAsia" w:ascii="宋体" w:hAnsi="宋体"/>
      <w:color w:val="000000"/>
      <w:sz w:val="24"/>
    </w:rPr>
  </w:style>
  <w:style w:type="paragraph" w:styleId="19">
    <w:name w:val="Normal (Web)"/>
    <w:basedOn w:val="1"/>
    <w:qFormat/>
    <w:uiPriority w:val="99"/>
    <w:pPr>
      <w:widowControl/>
      <w:spacing w:before="100" w:beforeAutospacing="1" w:after="100" w:afterAutospacing="1"/>
      <w:ind w:firstLine="420"/>
      <w:jc w:val="left"/>
    </w:pPr>
    <w:rPr>
      <w:rFonts w:ascii="宋体" w:hAnsi="宋体"/>
      <w:kern w:val="0"/>
      <w:sz w:val="20"/>
      <w:szCs w:val="20"/>
    </w:rPr>
  </w:style>
  <w:style w:type="paragraph" w:styleId="20">
    <w:name w:val="Title"/>
    <w:basedOn w:val="1"/>
    <w:link w:val="44"/>
    <w:qFormat/>
    <w:uiPriority w:val="0"/>
    <w:pPr>
      <w:widowControl/>
      <w:overflowPunct w:val="0"/>
      <w:autoSpaceDE w:val="0"/>
      <w:autoSpaceDN w:val="0"/>
      <w:adjustRightInd w:val="0"/>
      <w:jc w:val="center"/>
      <w:textAlignment w:val="baseline"/>
    </w:pPr>
    <w:rPr>
      <w:b/>
      <w:kern w:val="0"/>
      <w:sz w:val="24"/>
      <w:szCs w:val="20"/>
      <w:lang w:val="en-GB"/>
    </w:rPr>
  </w:style>
  <w:style w:type="paragraph" w:styleId="21">
    <w:name w:val="annotation subject"/>
    <w:basedOn w:val="8"/>
    <w:next w:val="8"/>
    <w:link w:val="61"/>
    <w:qFormat/>
    <w:uiPriority w:val="99"/>
    <w:rPr>
      <w:b/>
      <w:bCs/>
    </w:rPr>
  </w:style>
  <w:style w:type="paragraph" w:styleId="22">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23">
    <w:name w:val="Body Text First Indent 2"/>
    <w:basedOn w:val="10"/>
    <w:qFormat/>
    <w:uiPriority w:val="99"/>
    <w:pPr>
      <w:ind w:firstLine="42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bCs/>
    </w:rPr>
  </w:style>
  <w:style w:type="character" w:styleId="28">
    <w:name w:val="page number"/>
    <w:basedOn w:val="26"/>
    <w:qFormat/>
    <w:uiPriority w:val="0"/>
  </w:style>
  <w:style w:type="character" w:styleId="29">
    <w:name w:val="FollowedHyperlink"/>
    <w:basedOn w:val="26"/>
    <w:qFormat/>
    <w:uiPriority w:val="99"/>
    <w:rPr>
      <w:color w:val="5579A7"/>
      <w:u w:val="none"/>
    </w:rPr>
  </w:style>
  <w:style w:type="character" w:styleId="30">
    <w:name w:val="Hyperlink"/>
    <w:basedOn w:val="26"/>
    <w:qFormat/>
    <w:uiPriority w:val="0"/>
    <w:rPr>
      <w:color w:val="5579A7"/>
      <w:u w:val="none"/>
    </w:rPr>
  </w:style>
  <w:style w:type="character" w:styleId="31">
    <w:name w:val="annotation reference"/>
    <w:qFormat/>
    <w:uiPriority w:val="99"/>
    <w:rPr>
      <w:sz w:val="21"/>
      <w:szCs w:val="21"/>
    </w:rPr>
  </w:style>
  <w:style w:type="paragraph" w:customStyle="1" w:styleId="32">
    <w:name w:val="Default"/>
    <w:next w:val="33"/>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3">
    <w:name w:val="TOC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34">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35">
    <w:name w:val="页脚 Char"/>
    <w:link w:val="15"/>
    <w:qFormat/>
    <w:uiPriority w:val="99"/>
    <w:rPr>
      <w:kern w:val="2"/>
      <w:sz w:val="18"/>
      <w:szCs w:val="18"/>
    </w:rPr>
  </w:style>
  <w:style w:type="character" w:customStyle="1" w:styleId="36">
    <w:name w:val="sub_title s0"/>
    <w:basedOn w:val="26"/>
    <w:qFormat/>
    <w:uiPriority w:val="0"/>
  </w:style>
  <w:style w:type="character" w:customStyle="1" w:styleId="37">
    <w:name w:val="正文文本缩进 字符"/>
    <w:qFormat/>
    <w:uiPriority w:val="0"/>
    <w:rPr>
      <w:rFonts w:ascii="宋体" w:hAnsi="Courier New"/>
      <w:spacing w:val="-4"/>
      <w:kern w:val="2"/>
      <w:sz w:val="18"/>
    </w:rPr>
  </w:style>
  <w:style w:type="character" w:customStyle="1" w:styleId="38">
    <w:name w:val="jbox-icon-info"/>
    <w:basedOn w:val="26"/>
    <w:qFormat/>
    <w:uiPriority w:val="0"/>
  </w:style>
  <w:style w:type="character" w:customStyle="1" w:styleId="39">
    <w:name w:val="Plain Text Char Char"/>
    <w:link w:val="40"/>
    <w:qFormat/>
    <w:uiPriority w:val="0"/>
    <w:rPr>
      <w:rFonts w:ascii="宋体" w:hAnsi="Courier New" w:cs="宋体"/>
    </w:rPr>
  </w:style>
  <w:style w:type="paragraph" w:customStyle="1" w:styleId="40">
    <w:name w:val="纯文本1"/>
    <w:basedOn w:val="1"/>
    <w:link w:val="39"/>
    <w:qFormat/>
    <w:uiPriority w:val="0"/>
    <w:rPr>
      <w:rFonts w:ascii="宋体" w:hAnsi="Courier New" w:cs="宋体"/>
      <w:kern w:val="0"/>
      <w:sz w:val="20"/>
      <w:szCs w:val="20"/>
    </w:rPr>
  </w:style>
  <w:style w:type="character" w:customStyle="1" w:styleId="41">
    <w:name w:val="black601"/>
    <w:qFormat/>
    <w:uiPriority w:val="0"/>
    <w:rPr>
      <w:color w:val="666666"/>
    </w:rPr>
  </w:style>
  <w:style w:type="character" w:customStyle="1" w:styleId="42">
    <w:name w:val="纯文本 Char"/>
    <w:qFormat/>
    <w:uiPriority w:val="99"/>
    <w:rPr>
      <w:rFonts w:ascii="宋体" w:hAnsi="Courier New"/>
      <w:kern w:val="2"/>
      <w:sz w:val="24"/>
      <w:szCs w:val="24"/>
    </w:rPr>
  </w:style>
  <w:style w:type="character" w:customStyle="1" w:styleId="43">
    <w:name w:val="纯文本 Char2"/>
    <w:link w:val="12"/>
    <w:qFormat/>
    <w:uiPriority w:val="0"/>
    <w:rPr>
      <w:rFonts w:ascii="宋体" w:hAnsi="Courier New"/>
      <w:kern w:val="2"/>
      <w:sz w:val="24"/>
      <w:szCs w:val="24"/>
    </w:rPr>
  </w:style>
  <w:style w:type="character" w:customStyle="1" w:styleId="44">
    <w:name w:val="标题 Char"/>
    <w:link w:val="20"/>
    <w:qFormat/>
    <w:uiPriority w:val="0"/>
    <w:rPr>
      <w:b/>
      <w:sz w:val="24"/>
      <w:lang w:val="en-GB"/>
    </w:rPr>
  </w:style>
  <w:style w:type="character" w:customStyle="1" w:styleId="45">
    <w:name w:val="正文缩进 Char"/>
    <w:link w:val="5"/>
    <w:qFormat/>
    <w:uiPriority w:val="0"/>
    <w:rPr>
      <w:rFonts w:eastAsia="宋体"/>
      <w:kern w:val="2"/>
      <w:sz w:val="21"/>
      <w:lang w:val="en-US" w:eastAsia="zh-CN" w:bidi="ar-SA"/>
    </w:rPr>
  </w:style>
  <w:style w:type="character" w:customStyle="1" w:styleId="46">
    <w:name w:val="jbox-icon-error"/>
    <w:basedOn w:val="26"/>
    <w:qFormat/>
    <w:uiPriority w:val="0"/>
  </w:style>
  <w:style w:type="character" w:customStyle="1" w:styleId="47">
    <w:name w:val="jbox-icon-loading"/>
    <w:basedOn w:val="26"/>
    <w:qFormat/>
    <w:uiPriority w:val="0"/>
  </w:style>
  <w:style w:type="character" w:customStyle="1" w:styleId="48">
    <w:name w:val="z-窗体顶端 Char"/>
    <w:link w:val="49"/>
    <w:qFormat/>
    <w:uiPriority w:val="99"/>
    <w:rPr>
      <w:rFonts w:ascii="Arial" w:hAnsi="Arial"/>
      <w:vanish/>
      <w:sz w:val="16"/>
      <w:szCs w:val="16"/>
    </w:rPr>
  </w:style>
  <w:style w:type="paragraph" w:customStyle="1" w:styleId="49">
    <w:name w:val="z-窗体顶端1"/>
    <w:basedOn w:val="1"/>
    <w:next w:val="1"/>
    <w:link w:val="48"/>
    <w:qFormat/>
    <w:uiPriority w:val="99"/>
    <w:pPr>
      <w:widowControl/>
      <w:pBdr>
        <w:bottom w:val="single" w:color="auto" w:sz="6" w:space="1"/>
      </w:pBdr>
      <w:jc w:val="center"/>
    </w:pPr>
    <w:rPr>
      <w:rFonts w:ascii="Arial" w:hAnsi="Arial"/>
      <w:vanish/>
      <w:kern w:val="0"/>
      <w:sz w:val="16"/>
      <w:szCs w:val="16"/>
    </w:rPr>
  </w:style>
  <w:style w:type="character" w:customStyle="1" w:styleId="50">
    <w:name w:val="jbox-icon-question"/>
    <w:basedOn w:val="26"/>
    <w:qFormat/>
    <w:uiPriority w:val="0"/>
  </w:style>
  <w:style w:type="character" w:customStyle="1" w:styleId="51">
    <w:name w:val="标题 字符1"/>
    <w:qFormat/>
    <w:uiPriority w:val="10"/>
    <w:rPr>
      <w:rFonts w:ascii="等线 Light" w:hAnsi="等线 Light" w:cs="Times New Roman"/>
      <w:b/>
      <w:bCs/>
      <w:kern w:val="2"/>
      <w:sz w:val="32"/>
      <w:szCs w:val="32"/>
    </w:rPr>
  </w:style>
  <w:style w:type="character" w:customStyle="1" w:styleId="52">
    <w:name w:val="jbox-icon-success"/>
    <w:basedOn w:val="26"/>
    <w:qFormat/>
    <w:uiPriority w:val="0"/>
  </w:style>
  <w:style w:type="character" w:customStyle="1" w:styleId="53">
    <w:name w:val="批注文字 Char"/>
    <w:link w:val="8"/>
    <w:qFormat/>
    <w:uiPriority w:val="99"/>
    <w:rPr>
      <w:kern w:val="2"/>
      <w:sz w:val="28"/>
      <w:szCs w:val="24"/>
    </w:rPr>
  </w:style>
  <w:style w:type="character" w:customStyle="1" w:styleId="54">
    <w:name w:val="正文文本缩进 Char"/>
    <w:link w:val="10"/>
    <w:qFormat/>
    <w:uiPriority w:val="0"/>
    <w:rPr>
      <w:rFonts w:ascii="宋体" w:hAnsi="Courier New"/>
      <w:spacing w:val="-4"/>
      <w:kern w:val="2"/>
      <w:sz w:val="18"/>
    </w:rPr>
  </w:style>
  <w:style w:type="character" w:customStyle="1" w:styleId="55">
    <w:name w:val="maywed421"/>
    <w:qFormat/>
    <w:uiPriority w:val="0"/>
    <w:rPr>
      <w:color w:val="366FB6"/>
      <w:u w:val="none"/>
    </w:rPr>
  </w:style>
  <w:style w:type="character" w:customStyle="1" w:styleId="56">
    <w:name w:val="jbox-icon-warning"/>
    <w:basedOn w:val="26"/>
    <w:qFormat/>
    <w:uiPriority w:val="0"/>
  </w:style>
  <w:style w:type="character" w:customStyle="1" w:styleId="57">
    <w:name w:val="jbox-icon-none"/>
    <w:basedOn w:val="26"/>
    <w:qFormat/>
    <w:uiPriority w:val="0"/>
    <w:rPr>
      <w:vanish/>
    </w:rPr>
  </w:style>
  <w:style w:type="character" w:customStyle="1" w:styleId="58">
    <w:name w:val="标题 1 Char"/>
    <w:link w:val="2"/>
    <w:qFormat/>
    <w:uiPriority w:val="9"/>
    <w:rPr>
      <w:b/>
      <w:bCs/>
      <w:kern w:val="44"/>
      <w:sz w:val="44"/>
      <w:szCs w:val="44"/>
    </w:rPr>
  </w:style>
  <w:style w:type="character" w:customStyle="1" w:styleId="59">
    <w:name w:val="z-窗体底端 Char"/>
    <w:link w:val="60"/>
    <w:qFormat/>
    <w:uiPriority w:val="99"/>
    <w:rPr>
      <w:rFonts w:ascii="Arial" w:hAnsi="Arial"/>
      <w:vanish/>
      <w:sz w:val="16"/>
      <w:szCs w:val="16"/>
    </w:rPr>
  </w:style>
  <w:style w:type="paragraph" w:customStyle="1" w:styleId="60">
    <w:name w:val="z-窗体底端1"/>
    <w:basedOn w:val="1"/>
    <w:next w:val="1"/>
    <w:link w:val="59"/>
    <w:qFormat/>
    <w:uiPriority w:val="99"/>
    <w:pPr>
      <w:widowControl/>
      <w:pBdr>
        <w:top w:val="single" w:color="auto" w:sz="6" w:space="1"/>
      </w:pBdr>
      <w:jc w:val="center"/>
    </w:pPr>
    <w:rPr>
      <w:rFonts w:ascii="Arial" w:hAnsi="Arial"/>
      <w:vanish/>
      <w:kern w:val="0"/>
      <w:sz w:val="16"/>
      <w:szCs w:val="16"/>
    </w:rPr>
  </w:style>
  <w:style w:type="character" w:customStyle="1" w:styleId="61">
    <w:name w:val="批注主题 Char"/>
    <w:link w:val="21"/>
    <w:qFormat/>
    <w:uiPriority w:val="99"/>
    <w:rPr>
      <w:b/>
      <w:bCs/>
      <w:kern w:val="2"/>
      <w:sz w:val="28"/>
      <w:szCs w:val="24"/>
    </w:rPr>
  </w:style>
  <w:style w:type="character" w:customStyle="1" w:styleId="62">
    <w:name w:val="纯文本 Char1"/>
    <w:qFormat/>
    <w:uiPriority w:val="0"/>
    <w:rPr>
      <w:rFonts w:ascii="宋体" w:hAnsi="Courier New"/>
      <w:kern w:val="2"/>
      <w:sz w:val="21"/>
    </w:rPr>
  </w:style>
  <w:style w:type="character" w:customStyle="1" w:styleId="63">
    <w:name w:val="jbox-icon"/>
    <w:basedOn w:val="26"/>
    <w:qFormat/>
    <w:uiPriority w:val="0"/>
  </w:style>
  <w:style w:type="character" w:customStyle="1" w:styleId="64">
    <w:name w:val="标题 1 Char Char"/>
    <w:qFormat/>
    <w:uiPriority w:val="0"/>
    <w:rPr>
      <w:rFonts w:eastAsia="宋体"/>
      <w:b/>
      <w:spacing w:val="-2"/>
      <w:sz w:val="24"/>
      <w:lang w:val="en-US" w:eastAsia="zh-CN" w:bidi="ar-SA"/>
    </w:rPr>
  </w:style>
  <w:style w:type="character" w:customStyle="1" w:styleId="65">
    <w:name w:val="标题 2 Char"/>
    <w:link w:val="3"/>
    <w:qFormat/>
    <w:uiPriority w:val="9"/>
    <w:rPr>
      <w:rFonts w:ascii="Cambria" w:hAnsi="Cambria" w:eastAsia="宋体" w:cs="Times New Roman"/>
      <w:b/>
      <w:bCs/>
      <w:kern w:val="2"/>
      <w:sz w:val="32"/>
      <w:szCs w:val="32"/>
    </w:rPr>
  </w:style>
  <w:style w:type="paragraph" w:customStyle="1" w:styleId="66">
    <w:name w:val="Proposals body"/>
    <w:basedOn w:val="1"/>
    <w:next w:val="1"/>
    <w:qFormat/>
    <w:uiPriority w:val="0"/>
    <w:pPr>
      <w:widowControl/>
      <w:spacing w:line="460" w:lineRule="exact"/>
      <w:jc w:val="left"/>
    </w:pPr>
    <w:rPr>
      <w:rFonts w:ascii="仿宋_GB2312" w:eastAsia="仿宋_GB2312"/>
      <w:snapToGrid w:val="0"/>
      <w:kern w:val="0"/>
      <w:sz w:val="24"/>
    </w:rPr>
  </w:style>
  <w:style w:type="paragraph" w:customStyle="1" w:styleId="67">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8">
    <w:name w:val="正文段"/>
    <w:basedOn w:val="1"/>
    <w:qFormat/>
    <w:uiPriority w:val="0"/>
    <w:pPr>
      <w:widowControl/>
      <w:snapToGrid w:val="0"/>
      <w:spacing w:afterLines="50"/>
      <w:ind w:firstLine="200" w:firstLineChars="200"/>
    </w:pPr>
    <w:rPr>
      <w:kern w:val="0"/>
      <w:sz w:val="24"/>
      <w:szCs w:val="20"/>
    </w:rPr>
  </w:style>
  <w:style w:type="paragraph" w:customStyle="1" w:styleId="69">
    <w:name w:val="p0"/>
    <w:basedOn w:val="1"/>
    <w:qFormat/>
    <w:uiPriority w:val="0"/>
    <w:pPr>
      <w:widowControl/>
      <w:spacing w:line="365" w:lineRule="atLeast"/>
      <w:ind w:left="1"/>
    </w:pPr>
    <w:rPr>
      <w:kern w:val="0"/>
      <w:sz w:val="20"/>
      <w:szCs w:val="20"/>
    </w:rPr>
  </w:style>
  <w:style w:type="paragraph" w:customStyle="1" w:styleId="70">
    <w:name w:val="无间距"/>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彩色列表 - 强调文字颜色 11"/>
    <w:basedOn w:val="1"/>
    <w:qFormat/>
    <w:uiPriority w:val="34"/>
    <w:pPr>
      <w:ind w:firstLine="420" w:firstLineChars="200"/>
    </w:pPr>
    <w:rPr>
      <w:rFonts w:ascii="Calibri" w:hAnsi="Calibri"/>
      <w:sz w:val="21"/>
      <w:szCs w:val="22"/>
    </w:rPr>
  </w:style>
  <w:style w:type="paragraph" w:customStyle="1" w:styleId="72">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73">
    <w:name w:val="Char Char Char Char1"/>
    <w:basedOn w:val="1"/>
    <w:qFormat/>
    <w:uiPriority w:val="0"/>
    <w:rPr>
      <w:rFonts w:ascii="Tahoma" w:hAnsi="Tahoma"/>
      <w:sz w:val="24"/>
      <w:szCs w:val="20"/>
    </w:rPr>
  </w:style>
  <w:style w:type="paragraph" w:customStyle="1" w:styleId="74">
    <w:name w:val="List Paragraph1"/>
    <w:basedOn w:val="1"/>
    <w:qFormat/>
    <w:uiPriority w:val="0"/>
    <w:pPr>
      <w:ind w:firstLine="420" w:firstLineChars="200"/>
    </w:pPr>
    <w:rPr>
      <w:sz w:val="21"/>
    </w:rPr>
  </w:style>
  <w:style w:type="paragraph" w:customStyle="1" w:styleId="75">
    <w:name w:val="默认段落字体 Para Char Char Char Char Char Char Char Char Char1 Char Char Char Char"/>
    <w:basedOn w:val="1"/>
    <w:qFormat/>
    <w:uiPriority w:val="0"/>
    <w:rPr>
      <w:rFonts w:ascii="Tahoma" w:hAnsi="Tahoma"/>
      <w:sz w:val="24"/>
      <w:szCs w:val="20"/>
    </w:rPr>
  </w:style>
  <w:style w:type="paragraph" w:customStyle="1" w:styleId="7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77">
    <w:name w:val="正文 A"/>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78">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character" w:customStyle="1" w:styleId="79">
    <w:name w:val="文档结构图 Char"/>
    <w:basedOn w:val="26"/>
    <w:link w:val="7"/>
    <w:qFormat/>
    <w:uiPriority w:val="99"/>
    <w:rPr>
      <w:rFonts w:ascii="宋体"/>
      <w:kern w:val="2"/>
      <w:sz w:val="18"/>
      <w:szCs w:val="18"/>
    </w:rPr>
  </w:style>
  <w:style w:type="paragraph" w:styleId="80">
    <w:name w:val="List Paragraph"/>
    <w:basedOn w:val="1"/>
    <w:qFormat/>
    <w:uiPriority w:val="99"/>
    <w:pPr>
      <w:ind w:firstLine="420" w:firstLineChars="200"/>
    </w:pPr>
  </w:style>
  <w:style w:type="character" w:customStyle="1" w:styleId="81">
    <w:name w:val="无"/>
    <w:qFormat/>
    <w:uiPriority w:val="0"/>
    <w:rPr>
      <w:rFonts w:ascii="Times New Roman" w:hAnsi="Times New Roman" w:eastAsia="Arial Unicode M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E71FB-93A7-43B9-80EA-B220E1C93D2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35</Pages>
  <Words>16572</Words>
  <Characters>17762</Characters>
  <Paragraphs>793</Paragraphs>
  <TotalTime>1587</TotalTime>
  <ScaleCrop>false</ScaleCrop>
  <LinksUpToDate>false</LinksUpToDate>
  <CharactersWithSpaces>18385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2022-07-06T09:00:00Z</dcterms:created>
  <dc:creator>jj</dc:creator>
  <cp:lastModifiedBy>张小燕</cp:lastModifiedBy>
  <cp:lastPrinted>2018-12-24T02:45:00Z</cp:lastPrinted>
  <dcterms:modified xsi:type="dcterms:W3CDTF">2026-05-11T08:24:59Z</dcterms:modified>
  <dc:title>求是招标代理有限公司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523D91CC794A49498931B9BA9A5333CD_13</vt:lpwstr>
  </property>
  <property fmtid="{D5CDD505-2E9C-101B-9397-08002B2CF9AE}" pid="4" name="KSOTemplateDocerSaveRecord">
    <vt:lpwstr>eyJoZGlkIjoiNDFiMTYwZWIzMTJiMzU2MDhiNmNlNmMzMWM5MjdmYjkiLCJ1c2VySWQiOiI0NTMxMTM0NjkifQ==</vt:lpwstr>
  </property>
</Properties>
</file>