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FAAF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themeColor="text1"/>
          <w:sz w:val="36"/>
          <w:szCs w:val="36"/>
          <w:highlight w:val="none"/>
          <w:lang w:val="en-US" w:eastAsia="zh-CN"/>
          <w14:textFill>
            <w14:solidFill>
              <w14:schemeClr w14:val="tx1"/>
            </w14:solidFill>
          </w14:textFill>
        </w:rPr>
      </w:pPr>
    </w:p>
    <w:p w14:paraId="1223B5E5">
      <w:pPr>
        <w:pStyle w:val="6"/>
        <w:jc w:val="center"/>
        <w:rPr>
          <w:rFonts w:hint="eastAsia"/>
          <w:color w:val="000000" w:themeColor="text1"/>
          <w:sz w:val="36"/>
          <w:szCs w:val="36"/>
          <w:highlight w:val="none"/>
          <w:lang w:eastAsia="zh-CN"/>
          <w14:textFill>
            <w14:solidFill>
              <w14:schemeClr w14:val="tx1"/>
            </w14:solidFill>
          </w14:textFill>
        </w:rPr>
      </w:pPr>
      <w:r>
        <w:rPr>
          <w:rFonts w:hint="eastAsia" w:ascii="宋体" w:hAnsi="宋体" w:cs="宋体"/>
          <w:b/>
          <w:bCs/>
          <w:color w:val="000000" w:themeColor="text1"/>
          <w:sz w:val="36"/>
          <w:szCs w:val="36"/>
          <w:highlight w:val="none"/>
          <w:lang w:val="en-US" w:eastAsia="zh-CN"/>
          <w14:textFill>
            <w14:solidFill>
              <w14:schemeClr w14:val="tx1"/>
            </w14:solidFill>
          </w14:textFill>
        </w:rPr>
        <w:t>常山县财政局2025年度第二期财政资金竞争性存放项目</w:t>
      </w:r>
    </w:p>
    <w:p w14:paraId="08A708DD">
      <w:pPr>
        <w:adjustRightInd w:val="0"/>
        <w:snapToGrid w:val="0"/>
        <w:jc w:val="center"/>
        <w:rPr>
          <w:rFonts w:hint="eastAsia" w:ascii="楷体" w:hAnsi="楷体" w:eastAsia="楷体" w:cs="楷体"/>
          <w:b/>
          <w:color w:val="000000" w:themeColor="text1"/>
          <w:spacing w:val="-28"/>
          <w:sz w:val="100"/>
          <w:szCs w:val="100"/>
          <w:highlight w:val="none"/>
          <w:lang w:eastAsia="zh-CN"/>
          <w14:textFill>
            <w14:solidFill>
              <w14:schemeClr w14:val="tx1"/>
            </w14:solidFill>
          </w14:textFill>
        </w:rPr>
      </w:pPr>
    </w:p>
    <w:p w14:paraId="35D860FB">
      <w:pPr>
        <w:adjustRightInd w:val="0"/>
        <w:snapToGrid w:val="0"/>
        <w:jc w:val="center"/>
        <w:rPr>
          <w:rFonts w:hint="eastAsia" w:ascii="站酷快乐体" w:hAnsi="站酷快乐体" w:eastAsia="楷体" w:cs="站酷快乐体"/>
          <w:b/>
          <w:color w:val="000000" w:themeColor="text1"/>
          <w:spacing w:val="-28"/>
          <w:sz w:val="100"/>
          <w:szCs w:val="100"/>
          <w:highlight w:val="none"/>
          <w:lang w:eastAsia="zh-CN"/>
          <w14:textFill>
            <w14:solidFill>
              <w14:schemeClr w14:val="tx1"/>
            </w14:solidFill>
          </w14:textFill>
        </w:rPr>
      </w:pPr>
      <w:r>
        <w:rPr>
          <w:rFonts w:hint="eastAsia" w:ascii="楷体" w:hAnsi="楷体" w:eastAsia="楷体" w:cs="楷体"/>
          <w:b/>
          <w:color w:val="000000" w:themeColor="text1"/>
          <w:spacing w:val="-28"/>
          <w:sz w:val="100"/>
          <w:szCs w:val="100"/>
          <w:highlight w:val="none"/>
          <w:lang w:eastAsia="zh-CN"/>
          <w14:textFill>
            <w14:solidFill>
              <w14:schemeClr w14:val="tx1"/>
            </w14:solidFill>
          </w14:textFill>
        </w:rPr>
        <w:t>招标文件</w:t>
      </w:r>
    </w:p>
    <w:p w14:paraId="58C1F461">
      <w:pPr>
        <w:pStyle w:val="21"/>
        <w:rPr>
          <w:rFonts w:hint="eastAsia"/>
          <w:color w:val="000000" w:themeColor="text1"/>
          <w:highlight w:val="none"/>
          <w14:textFill>
            <w14:solidFill>
              <w14:schemeClr w14:val="tx1"/>
            </w14:solidFill>
          </w14:textFill>
        </w:rPr>
      </w:pPr>
    </w:p>
    <w:p w14:paraId="3C686156">
      <w:pPr>
        <w:pStyle w:val="6"/>
        <w:rPr>
          <w:rFonts w:hint="eastAsia"/>
          <w:color w:val="000000" w:themeColor="text1"/>
          <w:highlight w:val="none"/>
          <w14:textFill>
            <w14:solidFill>
              <w14:schemeClr w14:val="tx1"/>
            </w14:solidFill>
          </w14:textFill>
        </w:rPr>
      </w:pPr>
    </w:p>
    <w:p w14:paraId="5AF5C7BA">
      <w:pPr>
        <w:jc w:val="center"/>
        <w:rPr>
          <w:rFonts w:hint="eastAsia" w:ascii="宋体" w:hAnsi="宋体" w:eastAsia="宋体" w:cs="宋体"/>
          <w:color w:val="000000" w:themeColor="text1"/>
          <w:sz w:val="36"/>
          <w:szCs w:val="36"/>
          <w:highlight w:val="none"/>
          <w:lang w:val="en-US" w:eastAsia="zh-CN"/>
          <w14:textFill>
            <w14:solidFill>
              <w14:schemeClr w14:val="tx1"/>
            </w14:solidFill>
          </w14:textFill>
        </w:rPr>
      </w:pPr>
      <w:r>
        <w:rPr>
          <w:rFonts w:hint="eastAsia" w:ascii="宋体" w:hAnsi="宋体" w:eastAsia="宋体" w:cs="宋体"/>
          <w:color w:val="000000" w:themeColor="text1"/>
          <w:sz w:val="36"/>
          <w:szCs w:val="36"/>
          <w:highlight w:val="none"/>
          <w14:textFill>
            <w14:solidFill>
              <w14:schemeClr w14:val="tx1"/>
            </w14:solidFill>
          </w14:textFill>
        </w:rPr>
        <w:t>项目编号：</w:t>
      </w:r>
      <w:r>
        <w:rPr>
          <w:rFonts w:hint="eastAsia" w:ascii="宋体" w:hAnsi="宋体" w:cs="宋体"/>
          <w:b/>
          <w:bCs/>
          <w:color w:val="000000" w:themeColor="text1"/>
          <w:sz w:val="32"/>
          <w:szCs w:val="32"/>
          <w:highlight w:val="none"/>
          <w:lang w:eastAsia="zh-CN"/>
          <w14:textFill>
            <w14:solidFill>
              <w14:schemeClr w14:val="tx1"/>
            </w14:solidFill>
          </w14:textFill>
        </w:rPr>
        <w:t>TYZX-GK-202529</w:t>
      </w:r>
    </w:p>
    <w:p w14:paraId="70DCDB85">
      <w:pPr>
        <w:spacing w:line="600" w:lineRule="exact"/>
        <w:rPr>
          <w:rFonts w:hint="eastAsia" w:ascii="宋体" w:hAnsi="宋体" w:eastAsia="宋体" w:cs="宋体"/>
          <w:color w:val="000000" w:themeColor="text1"/>
          <w:sz w:val="32"/>
          <w:szCs w:val="32"/>
          <w:highlight w:val="none"/>
          <w14:textFill>
            <w14:solidFill>
              <w14:schemeClr w14:val="tx1"/>
            </w14:solidFill>
          </w14:textFill>
        </w:rPr>
      </w:pPr>
    </w:p>
    <w:p w14:paraId="4D4AB239">
      <w:pPr>
        <w:spacing w:line="600" w:lineRule="exact"/>
        <w:rPr>
          <w:rFonts w:hint="eastAsia" w:ascii="宋体" w:hAnsi="宋体" w:eastAsia="宋体" w:cs="宋体"/>
          <w:color w:val="000000" w:themeColor="text1"/>
          <w:sz w:val="32"/>
          <w:szCs w:val="32"/>
          <w:highlight w:val="none"/>
          <w14:textFill>
            <w14:solidFill>
              <w14:schemeClr w14:val="tx1"/>
            </w14:solidFill>
          </w14:textFill>
        </w:rPr>
      </w:pPr>
    </w:p>
    <w:p w14:paraId="7EDE0069">
      <w:pPr>
        <w:spacing w:line="600" w:lineRule="exact"/>
        <w:rPr>
          <w:rFonts w:hint="eastAsia" w:ascii="宋体" w:hAnsi="宋体" w:eastAsia="宋体" w:cs="宋体"/>
          <w:color w:val="000000" w:themeColor="text1"/>
          <w:sz w:val="32"/>
          <w:szCs w:val="32"/>
          <w:highlight w:val="none"/>
          <w14:textFill>
            <w14:solidFill>
              <w14:schemeClr w14:val="tx1"/>
            </w14:solidFill>
          </w14:textFill>
        </w:rPr>
      </w:pPr>
    </w:p>
    <w:p w14:paraId="4C0A84CD">
      <w:pPr>
        <w:pStyle w:val="6"/>
        <w:rPr>
          <w:rFonts w:hint="eastAsia"/>
          <w:color w:val="000000" w:themeColor="text1"/>
          <w:highlight w:val="none"/>
          <w14:textFill>
            <w14:solidFill>
              <w14:schemeClr w14:val="tx1"/>
            </w14:solidFill>
          </w14:textFill>
        </w:rPr>
      </w:pPr>
    </w:p>
    <w:p w14:paraId="1FCE712A">
      <w:pPr>
        <w:spacing w:line="600" w:lineRule="exact"/>
        <w:rPr>
          <w:rFonts w:hint="eastAsia" w:ascii="宋体" w:hAnsi="宋体" w:eastAsia="宋体" w:cs="宋体"/>
          <w:color w:val="000000" w:themeColor="text1"/>
          <w:sz w:val="32"/>
          <w:szCs w:val="32"/>
          <w:highlight w:val="none"/>
          <w14:textFill>
            <w14:solidFill>
              <w14:schemeClr w14:val="tx1"/>
            </w14:solidFill>
          </w14:textFill>
        </w:rPr>
      </w:pPr>
    </w:p>
    <w:p w14:paraId="26999148">
      <w:pPr>
        <w:spacing w:line="600" w:lineRule="exact"/>
        <w:rPr>
          <w:rFonts w:hint="eastAsia" w:ascii="宋体" w:hAnsi="宋体" w:eastAsia="宋体" w:cs="宋体"/>
          <w:color w:val="000000" w:themeColor="text1"/>
          <w:sz w:val="32"/>
          <w:szCs w:val="32"/>
          <w:highlight w:val="none"/>
          <w14:textFill>
            <w14:solidFill>
              <w14:schemeClr w14:val="tx1"/>
            </w14:solidFill>
          </w14:textFill>
        </w:rPr>
      </w:pPr>
    </w:p>
    <w:p w14:paraId="54CA040D">
      <w:pPr>
        <w:spacing w:line="360" w:lineRule="auto"/>
        <w:ind w:left="0" w:leftChars="0" w:firstLine="0" w:firstLineChars="0"/>
        <w:jc w:val="center"/>
        <w:rPr>
          <w:rFonts w:hint="eastAsia" w:ascii="宋体" w:hAnsi="宋体" w:eastAsia="宋体" w:cs="宋体"/>
          <w:color w:val="000000" w:themeColor="text1"/>
          <w:sz w:val="32"/>
          <w:szCs w:val="32"/>
          <w:highlight w:val="none"/>
          <w:lang w:eastAsia="zh-CN"/>
          <w14:textFill>
            <w14:solidFill>
              <w14:schemeClr w14:val="tx1"/>
            </w14:solidFill>
          </w14:textFill>
        </w:rPr>
      </w:pPr>
      <w:r>
        <w:rPr>
          <w:rFonts w:hint="eastAsia" w:ascii="宋体" w:hAnsi="宋体" w:cs="宋体"/>
          <w:color w:val="000000" w:themeColor="text1"/>
          <w:sz w:val="32"/>
          <w:szCs w:val="32"/>
          <w:highlight w:val="none"/>
          <w:lang w:eastAsia="zh-CN"/>
          <w14:textFill>
            <w14:solidFill>
              <w14:schemeClr w14:val="tx1"/>
            </w14:solidFill>
          </w14:textFill>
        </w:rPr>
        <w:t>招标人</w:t>
      </w:r>
      <w:r>
        <w:rPr>
          <w:rFonts w:hint="eastAsia" w:ascii="宋体" w:hAnsi="宋体" w:eastAsia="宋体" w:cs="宋体"/>
          <w:color w:val="000000" w:themeColor="text1"/>
          <w:sz w:val="32"/>
          <w:szCs w:val="32"/>
          <w:highlight w:val="none"/>
          <w14:textFill>
            <w14:solidFill>
              <w14:schemeClr w14:val="tx1"/>
            </w14:solidFill>
          </w14:textFill>
        </w:rPr>
        <w:t>：</w:t>
      </w:r>
      <w:r>
        <w:rPr>
          <w:rFonts w:hint="eastAsia" w:ascii="宋体" w:hAnsi="宋体" w:eastAsia="宋体" w:cs="宋体"/>
          <w:color w:val="000000" w:themeColor="text1"/>
          <w:sz w:val="32"/>
          <w:szCs w:val="32"/>
          <w:highlight w:val="none"/>
          <w:lang w:eastAsia="zh-CN"/>
          <w14:textFill>
            <w14:solidFill>
              <w14:schemeClr w14:val="tx1"/>
            </w14:solidFill>
          </w14:textFill>
        </w:rPr>
        <w:t>常山县财政局</w:t>
      </w:r>
    </w:p>
    <w:p w14:paraId="408ACD7F">
      <w:pPr>
        <w:pStyle w:val="6"/>
        <w:rPr>
          <w:rFonts w:hint="eastAsia"/>
          <w:color w:val="000000" w:themeColor="text1"/>
          <w:highlight w:val="none"/>
          <w:lang w:eastAsia="zh-CN"/>
          <w14:textFill>
            <w14:solidFill>
              <w14:schemeClr w14:val="tx1"/>
            </w14:solidFill>
          </w14:textFill>
        </w:rPr>
      </w:pPr>
    </w:p>
    <w:p w14:paraId="1E3A2BB5">
      <w:pPr>
        <w:spacing w:line="360" w:lineRule="auto"/>
        <w:ind w:left="0" w:leftChars="0" w:firstLine="0" w:firstLineChars="0"/>
        <w:jc w:val="center"/>
        <w:rPr>
          <w:rFonts w:hint="default" w:ascii="宋体" w:hAnsi="宋体" w:eastAsia="宋体" w:cs="宋体"/>
          <w:color w:val="000000" w:themeColor="text1"/>
          <w:sz w:val="32"/>
          <w:highlight w:val="none"/>
          <w:lang w:val="en-US" w:eastAsia="zh-CN"/>
          <w14:textFill>
            <w14:solidFill>
              <w14:schemeClr w14:val="tx1"/>
            </w14:solidFill>
          </w14:textFill>
        </w:rPr>
      </w:pPr>
      <w:r>
        <w:rPr>
          <w:rFonts w:hint="eastAsia" w:ascii="宋体" w:hAnsi="宋体" w:eastAsia="宋体" w:cs="宋体"/>
          <w:color w:val="000000" w:themeColor="text1"/>
          <w:sz w:val="32"/>
          <w:highlight w:val="none"/>
          <w:lang w:eastAsia="zh-CN"/>
          <w14:textFill>
            <w14:solidFill>
              <w14:schemeClr w14:val="tx1"/>
            </w14:solidFill>
          </w14:textFill>
        </w:rPr>
        <w:t>招标代理机构</w:t>
      </w:r>
      <w:r>
        <w:rPr>
          <w:rFonts w:hint="eastAsia" w:ascii="宋体" w:hAnsi="宋体" w:eastAsia="宋体" w:cs="宋体"/>
          <w:color w:val="000000" w:themeColor="text1"/>
          <w:sz w:val="32"/>
          <w:highlight w:val="none"/>
          <w14:textFill>
            <w14:solidFill>
              <w14:schemeClr w14:val="tx1"/>
            </w14:solidFill>
          </w14:textFill>
        </w:rPr>
        <w:t>：</w:t>
      </w:r>
      <w:r>
        <w:rPr>
          <w:rFonts w:hint="eastAsia" w:ascii="宋体" w:hAnsi="宋体" w:cs="宋体"/>
          <w:color w:val="000000" w:themeColor="text1"/>
          <w:sz w:val="32"/>
          <w:highlight w:val="none"/>
          <w:lang w:eastAsia="zh-CN"/>
          <w14:textFill>
            <w14:solidFill>
              <w14:schemeClr w14:val="tx1"/>
            </w14:solidFill>
          </w14:textFill>
        </w:rPr>
        <w:t>泰宇建筑工程技术咨询有限公司</w:t>
      </w:r>
    </w:p>
    <w:p w14:paraId="311F88A7">
      <w:pPr>
        <w:spacing w:line="360" w:lineRule="auto"/>
        <w:ind w:left="0" w:leftChars="0" w:firstLine="0" w:firstLineChars="0"/>
        <w:jc w:val="center"/>
        <w:rPr>
          <w:rFonts w:hint="default" w:ascii="宋体" w:hAnsi="宋体" w:eastAsia="宋体" w:cs="宋体"/>
          <w:color w:val="000000" w:themeColor="text1"/>
          <w:sz w:val="32"/>
          <w:szCs w:val="32"/>
          <w:highlight w:val="none"/>
          <w:lang w:val="en-US" w:eastAsia="zh-CN"/>
          <w14:textFill>
            <w14:solidFill>
              <w14:schemeClr w14:val="tx1"/>
            </w14:solidFill>
          </w14:textFill>
        </w:rPr>
        <w:sectPr>
          <w:headerReference r:id="rId4" w:type="first"/>
          <w:footerReference r:id="rId6" w:type="first"/>
          <w:headerReference r:id="rId3" w:type="default"/>
          <w:footerReference r:id="rId5" w:type="default"/>
          <w:pgSz w:w="11907" w:h="16840"/>
          <w:pgMar w:top="1779" w:right="893" w:bottom="1134" w:left="1134" w:header="720" w:footer="873" w:gutter="0"/>
          <w:cols w:space="720" w:num="1"/>
          <w:titlePg/>
          <w:docGrid w:type="linesAndChars" w:linePitch="380" w:charSpace="0"/>
        </w:sectPr>
      </w:pPr>
      <w:r>
        <w:rPr>
          <w:rFonts w:hint="eastAsia" w:ascii="宋体" w:hAnsi="宋体" w:cs="宋体"/>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color w:val="000000" w:themeColor="text1"/>
          <w:sz w:val="32"/>
          <w:szCs w:val="32"/>
          <w:highlight w:val="none"/>
          <w:lang w:val="en-US" w:eastAsia="zh-CN"/>
          <w14:textFill>
            <w14:solidFill>
              <w14:schemeClr w14:val="tx1"/>
            </w14:solidFill>
          </w14:textFill>
        </w:rPr>
        <w:t>年</w:t>
      </w:r>
      <w:r>
        <w:rPr>
          <w:rFonts w:hint="eastAsia" w:ascii="宋体" w:hAnsi="宋体" w:cs="宋体"/>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color w:val="000000" w:themeColor="text1"/>
          <w:sz w:val="32"/>
          <w:szCs w:val="32"/>
          <w:highlight w:val="none"/>
          <w:lang w:val="en-US" w:eastAsia="zh-CN"/>
          <w14:textFill>
            <w14:solidFill>
              <w14:schemeClr w14:val="tx1"/>
            </w14:solidFill>
          </w14:textFill>
        </w:rPr>
        <w:t>月</w:t>
      </w:r>
    </w:p>
    <w:p w14:paraId="67A4E58D">
      <w:pPr>
        <w:pStyle w:val="11"/>
        <w:rPr>
          <w:rFonts w:hint="eastAsia"/>
          <w:color w:val="000000" w:themeColor="text1"/>
          <w:highlight w:val="none"/>
          <w14:textFill>
            <w14:solidFill>
              <w14:schemeClr w14:val="tx1"/>
            </w14:solidFill>
          </w14:textFill>
        </w:rPr>
      </w:pPr>
    </w:p>
    <w:p w14:paraId="34FE4043">
      <w:pPr>
        <w:spacing w:line="600" w:lineRule="exact"/>
        <w:jc w:val="center"/>
        <w:rPr>
          <w:rFonts w:hint="eastAsia" w:ascii="宋体" w:hAnsi="宋体" w:eastAsia="宋体" w:cs="宋体"/>
          <w:bCs/>
          <w:color w:val="000000" w:themeColor="text1"/>
          <w:sz w:val="44"/>
          <w:szCs w:val="44"/>
          <w:highlight w:val="none"/>
          <w14:textFill>
            <w14:solidFill>
              <w14:schemeClr w14:val="tx1"/>
            </w14:solidFill>
          </w14:textFill>
        </w:rPr>
      </w:pPr>
      <w:r>
        <w:rPr>
          <w:rFonts w:hint="eastAsia" w:ascii="宋体" w:hAnsi="宋体" w:eastAsia="宋体" w:cs="宋体"/>
          <w:bCs/>
          <w:color w:val="000000" w:themeColor="text1"/>
          <w:sz w:val="44"/>
          <w:szCs w:val="44"/>
          <w:highlight w:val="none"/>
          <w14:textFill>
            <w14:solidFill>
              <w14:schemeClr w14:val="tx1"/>
            </w14:solidFill>
          </w14:textFill>
        </w:rPr>
        <w:t>目    录</w:t>
      </w:r>
    </w:p>
    <w:p w14:paraId="244851B4">
      <w:pPr>
        <w:pStyle w:val="8"/>
        <w:jc w:val="center"/>
        <w:rPr>
          <w:rFonts w:hint="eastAsia" w:ascii="宋体" w:hAnsi="宋体" w:eastAsia="宋体" w:cs="宋体"/>
          <w:b/>
          <w:bCs/>
          <w:color w:val="000000" w:themeColor="text1"/>
          <w:szCs w:val="21"/>
          <w:highlight w:val="none"/>
          <w14:textFill>
            <w14:solidFill>
              <w14:schemeClr w14:val="tx1"/>
            </w14:solidFill>
          </w14:textFill>
        </w:rPr>
      </w:pPr>
    </w:p>
    <w:p w14:paraId="32BFA0EB">
      <w:pPr>
        <w:pStyle w:val="11"/>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TOC \o "1-3" \h \z \u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_Toc2342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lang w:val="zh-CN" w:eastAsia="zh-CN"/>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57D0844">
      <w:pPr>
        <w:pStyle w:val="11"/>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_Toc3844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color w:val="000000" w:themeColor="text1"/>
          <w:szCs w:val="32"/>
          <w:highlight w:val="none"/>
          <w:lang w:val="zh-CN" w:eastAsia="zh-CN"/>
          <w14:textFill>
            <w14:solidFill>
              <w14:schemeClr w14:val="tx1"/>
            </w14:solidFill>
          </w14:textFill>
        </w:rPr>
        <w:t>第二章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_Toc3844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3A935A91">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_Toc10984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一、综合说明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74E1F3D">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_Toc6068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二、招标文件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_Toc6068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9257260">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_Toc29977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三、投标文件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662A824">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_Toc511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四、评标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A5CCFF0">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_Toc31424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五、定标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0FB93EC">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_Toc17937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val="0"/>
          <w:color w:val="000000" w:themeColor="text1"/>
          <w:szCs w:val="21"/>
          <w:highlight w:val="none"/>
          <w:lang w:val="zh-CN"/>
          <w14:textFill>
            <w14:solidFill>
              <w14:schemeClr w14:val="tx1"/>
            </w14:solidFill>
          </w14:textFill>
        </w:rPr>
        <w:t>六、合同授予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119F711B">
      <w:pPr>
        <w:pStyle w:val="11"/>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_Toc18324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color w:val="000000" w:themeColor="text1"/>
          <w:szCs w:val="32"/>
          <w:highlight w:val="none"/>
          <w:lang w:val="zh-CN" w:eastAsia="zh-CN" w:bidi="ar-SA"/>
          <w14:textFill>
            <w14:solidFill>
              <w14:schemeClr w14:val="tx1"/>
            </w14:solidFill>
          </w14:textFill>
        </w:rPr>
        <w:t>第三章  招标内容及要求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7261B01C">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_Toc19479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eastAsia="zh-CN"/>
          <w14:textFill>
            <w14:solidFill>
              <w14:schemeClr w14:val="tx1"/>
            </w14:solidFill>
          </w14:textFill>
        </w:rPr>
        <w:t>▲一、招标内容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A671036">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_Toc18710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eastAsia="zh-CN"/>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二、服务要求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665F6CBB">
      <w:pPr>
        <w:pStyle w:val="12"/>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_Toc372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lang w:val="zh-CN" w:eastAsia="zh-CN"/>
          <w14:textFill>
            <w14:solidFill>
              <w14:schemeClr w14:val="tx1"/>
            </w14:solidFill>
          </w14:textFill>
        </w:rPr>
        <w:t>▲三、商务条款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5D61C702">
      <w:pPr>
        <w:pStyle w:val="11"/>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_Toc7546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kern w:val="0"/>
          <w:szCs w:val="32"/>
          <w:highlight w:val="none"/>
          <w:lang w:val="zh-CN" w:eastAsia="zh-CN" w:bidi="ar-SA"/>
          <w14:textFill>
            <w14:solidFill>
              <w14:schemeClr w14:val="tx1"/>
            </w14:solidFill>
          </w14:textFill>
        </w:rPr>
        <w:t>第四章  合同文本（供参考）</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0D9239E4">
      <w:pPr>
        <w:pStyle w:val="11"/>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_Toc16507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lang w:val="zh-CN" w:eastAsia="zh-CN"/>
          <w14:textFill>
            <w14:solidFill>
              <w14:schemeClr w14:val="tx1"/>
            </w14:solidFill>
          </w14:textFill>
        </w:rPr>
        <w:t>第五章  评标办法及评分标准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6E6417D">
      <w:pPr>
        <w:pStyle w:val="11"/>
        <w:tabs>
          <w:tab w:val="right" w:leader="dot" w:pos="9880"/>
        </w:tabs>
        <w:rPr>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begin"/>
      </w:r>
      <w:r>
        <w:rPr>
          <w:rFonts w:hint="eastAsia" w:ascii="宋体" w:hAnsi="宋体" w:eastAsia="宋体" w:cs="宋体"/>
          <w:color w:val="000000" w:themeColor="text1"/>
          <w:szCs w:val="21"/>
          <w:highlight w:val="none"/>
          <w14:textFill>
            <w14:solidFill>
              <w14:schemeClr w14:val="tx1"/>
            </w14:solidFill>
          </w14:textFill>
        </w:rPr>
        <w:instrText xml:space="preserve"> HYPERLINK \l _Toc24300 </w:instrText>
      </w:r>
      <w:r>
        <w:rPr>
          <w:rFonts w:hint="eastAsia" w:ascii="宋体" w:hAnsi="宋体" w:eastAsia="宋体" w:cs="宋体"/>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32"/>
          <w:highlight w:val="none"/>
          <w:lang w:val="zh-CN" w:eastAsia="zh-CN"/>
          <w14:textFill>
            <w14:solidFill>
              <w14:schemeClr w14:val="tx1"/>
            </w14:solidFill>
          </w14:textFill>
        </w:rPr>
        <w:t>第六章  投标文件相关格式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szCs w:val="21"/>
          <w:highlight w:val="none"/>
          <w14:textFill>
            <w14:solidFill>
              <w14:schemeClr w14:val="tx1"/>
            </w14:solidFill>
          </w14:textFill>
        </w:rPr>
        <w:fldChar w:fldCharType="end"/>
      </w:r>
    </w:p>
    <w:p w14:paraId="2D7AD5CD">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fldChar w:fldCharType="end"/>
      </w:r>
    </w:p>
    <w:p w14:paraId="7ECD242E">
      <w:pPr>
        <w:pStyle w:val="14"/>
        <w:spacing w:line="700" w:lineRule="exact"/>
        <w:outlineLvl w:val="0"/>
        <w:rPr>
          <w:rFonts w:hint="eastAsia" w:ascii="宋体" w:hAnsi="宋体" w:eastAsia="宋体" w:cs="宋体"/>
          <w:color w:val="000000" w:themeColor="text1"/>
          <w:sz w:val="30"/>
          <w:szCs w:val="32"/>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br w:type="page"/>
      </w:r>
      <w:bookmarkStart w:id="0" w:name="_Toc3731"/>
      <w:bookmarkStart w:id="1" w:name="_Toc28850"/>
      <w:bookmarkStart w:id="2" w:name="_Toc9977"/>
      <w:bookmarkStart w:id="3" w:name="_Toc1221_WPSOffice_Level1"/>
      <w:bookmarkStart w:id="4" w:name="_Toc28496"/>
      <w:bookmarkStart w:id="5" w:name="_Toc16135"/>
      <w:bookmarkStart w:id="6" w:name="_Toc23482"/>
      <w:bookmarkStart w:id="7" w:name="_Toc2342"/>
      <w:r>
        <w:rPr>
          <w:rFonts w:hint="eastAsia" w:ascii="宋体" w:hAnsi="宋体" w:eastAsia="宋体" w:cs="宋体"/>
          <w:color w:val="000000" w:themeColor="text1"/>
          <w:sz w:val="30"/>
          <w:szCs w:val="32"/>
          <w:highlight w:val="none"/>
          <w:lang w:val="zh-CN" w:eastAsia="zh-CN"/>
          <w14:textFill>
            <w14:solidFill>
              <w14:schemeClr w14:val="tx1"/>
            </w14:solidFill>
          </w14:textFill>
        </w:rPr>
        <w:t xml:space="preserve">第一章  </w:t>
      </w:r>
      <w:bookmarkEnd w:id="0"/>
      <w:bookmarkEnd w:id="1"/>
      <w:bookmarkEnd w:id="2"/>
      <w:bookmarkEnd w:id="3"/>
      <w:bookmarkEnd w:id="4"/>
      <w:bookmarkEnd w:id="5"/>
      <w:bookmarkEnd w:id="6"/>
      <w:r>
        <w:rPr>
          <w:rFonts w:hint="eastAsia" w:ascii="宋体" w:hAnsi="宋体" w:eastAsia="宋体" w:cs="宋体"/>
          <w:color w:val="000000" w:themeColor="text1"/>
          <w:sz w:val="30"/>
          <w:szCs w:val="32"/>
          <w:highlight w:val="none"/>
          <w:lang w:val="zh-CN" w:eastAsia="zh-CN"/>
          <w14:textFill>
            <w14:solidFill>
              <w14:schemeClr w14:val="tx1"/>
            </w14:solidFill>
          </w14:textFill>
        </w:rPr>
        <w:t>招标公告</w:t>
      </w:r>
      <w:bookmarkEnd w:id="7"/>
    </w:p>
    <w:p w14:paraId="0AB68A7D">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both"/>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 xml:space="preserve"> </w:t>
      </w:r>
      <w:r>
        <w:rPr>
          <w:rFonts w:hint="eastAsia" w:eastAsia="宋体" w:cs="宋体"/>
          <w:color w:val="000000" w:themeColor="text1"/>
          <w:sz w:val="21"/>
          <w:szCs w:val="21"/>
          <w:highlight w:val="none"/>
          <w:lang w:eastAsia="zh-CN"/>
          <w14:textFill>
            <w14:solidFill>
              <w14:schemeClr w14:val="tx1"/>
            </w14:solidFill>
          </w14:textFill>
        </w:rPr>
        <w:t>根据《关于防止领导干部在公款存放方面发生利益冲突和利益输送的办法》</w:t>
      </w:r>
      <w:r>
        <w:rPr>
          <w:rFonts w:hint="eastAsia" w:cs="宋体"/>
          <w:color w:val="000000" w:themeColor="text1"/>
          <w:sz w:val="21"/>
          <w:szCs w:val="21"/>
          <w:highlight w:val="none"/>
          <w:lang w:eastAsia="zh-CN"/>
          <w14:textFill>
            <w14:solidFill>
              <w14:schemeClr w14:val="tx1"/>
            </w14:solidFill>
          </w14:textFill>
        </w:rPr>
        <w:t>（</w:t>
      </w:r>
      <w:r>
        <w:rPr>
          <w:rFonts w:hint="eastAsia" w:eastAsia="宋体" w:cs="宋体"/>
          <w:color w:val="000000" w:themeColor="text1"/>
          <w:sz w:val="21"/>
          <w:szCs w:val="21"/>
          <w:highlight w:val="none"/>
          <w:lang w:eastAsia="zh-CN"/>
          <w14:textFill>
            <w14:solidFill>
              <w14:schemeClr w14:val="tx1"/>
            </w14:solidFill>
          </w14:textFill>
        </w:rPr>
        <w:t>浙委办发〔2015〕8号</w:t>
      </w:r>
      <w:r>
        <w:rPr>
          <w:rFonts w:hint="eastAsia" w:cs="宋体"/>
          <w:color w:val="000000" w:themeColor="text1"/>
          <w:sz w:val="21"/>
          <w:szCs w:val="21"/>
          <w:highlight w:val="none"/>
          <w:lang w:eastAsia="zh-CN"/>
          <w14:textFill>
            <w14:solidFill>
              <w14:schemeClr w14:val="tx1"/>
            </w14:solidFill>
          </w14:textFill>
        </w:rPr>
        <w:t>）、</w:t>
      </w:r>
      <w:r>
        <w:rPr>
          <w:rFonts w:hint="eastAsia" w:eastAsia="宋体" w:cs="宋体"/>
          <w:color w:val="000000" w:themeColor="text1"/>
          <w:sz w:val="21"/>
          <w:szCs w:val="21"/>
          <w:highlight w:val="none"/>
          <w:lang w:eastAsia="zh-CN"/>
          <w14:textFill>
            <w14:solidFill>
              <w14:schemeClr w14:val="tx1"/>
            </w14:solidFill>
          </w14:textFill>
        </w:rPr>
        <w:t>《</w:t>
      </w:r>
      <w:bookmarkStart w:id="8" w:name="hallSendFileTitle"/>
      <w:r>
        <w:rPr>
          <w:rFonts w:hint="eastAsia" w:eastAsia="宋体" w:cs="宋体"/>
          <w:color w:val="000000" w:themeColor="text1"/>
          <w:sz w:val="21"/>
          <w:szCs w:val="21"/>
          <w:highlight w:val="none"/>
          <w:lang w:eastAsia="zh-CN"/>
          <w14:textFill>
            <w14:solidFill>
              <w14:schemeClr w14:val="tx1"/>
            </w14:solidFill>
          </w14:textFill>
        </w:rPr>
        <w:t>浙江省财政厅关于印发浙江省财政专户资金存放管理实施办法的通知</w:t>
      </w:r>
      <w:bookmarkEnd w:id="8"/>
      <w:r>
        <w:rPr>
          <w:rFonts w:hint="eastAsia" w:eastAsia="宋体" w:cs="宋体"/>
          <w:color w:val="000000" w:themeColor="text1"/>
          <w:sz w:val="21"/>
          <w:szCs w:val="21"/>
          <w:highlight w:val="none"/>
          <w:lang w:eastAsia="zh-CN"/>
          <w14:textFill>
            <w14:solidFill>
              <w14:schemeClr w14:val="tx1"/>
            </w14:solidFill>
          </w14:textFill>
        </w:rPr>
        <w:t>》（浙财预执〔20</w:t>
      </w:r>
      <w:r>
        <w:rPr>
          <w:rFonts w:hint="eastAsia" w:cs="宋体"/>
          <w:color w:val="000000" w:themeColor="text1"/>
          <w:sz w:val="21"/>
          <w:szCs w:val="21"/>
          <w:highlight w:val="none"/>
          <w:lang w:val="en-US" w:eastAsia="zh-CN"/>
          <w14:textFill>
            <w14:solidFill>
              <w14:schemeClr w14:val="tx1"/>
            </w14:solidFill>
          </w14:textFill>
        </w:rPr>
        <w:t>17</w:t>
      </w:r>
      <w:r>
        <w:rPr>
          <w:rFonts w:hint="eastAsia"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86</w:t>
      </w:r>
      <w:r>
        <w:rPr>
          <w:rFonts w:hint="eastAsia" w:eastAsia="宋体" w:cs="宋体"/>
          <w:color w:val="000000" w:themeColor="text1"/>
          <w:sz w:val="21"/>
          <w:szCs w:val="21"/>
          <w:highlight w:val="none"/>
          <w:lang w:eastAsia="zh-CN"/>
          <w14:textFill>
            <w14:solidFill>
              <w14:schemeClr w14:val="tx1"/>
            </w14:solidFill>
          </w14:textFill>
        </w:rPr>
        <w:t>号）</w:t>
      </w:r>
      <w:r>
        <w:rPr>
          <w:rFonts w:hint="eastAsia" w:cs="宋体"/>
          <w:color w:val="000000" w:themeColor="text1"/>
          <w:sz w:val="21"/>
          <w:szCs w:val="21"/>
          <w:highlight w:val="none"/>
          <w:lang w:eastAsia="zh-CN"/>
          <w14:textFill>
            <w14:solidFill>
              <w14:schemeClr w14:val="tx1"/>
            </w14:solidFill>
          </w14:textFill>
        </w:rPr>
        <w:t>和</w:t>
      </w:r>
      <w:r>
        <w:rPr>
          <w:rFonts w:hint="eastAsia" w:eastAsia="宋体" w:cs="宋体"/>
          <w:color w:val="000000" w:themeColor="text1"/>
          <w:sz w:val="21"/>
          <w:szCs w:val="21"/>
          <w:highlight w:val="none"/>
          <w:lang w:eastAsia="zh-CN"/>
          <w14:textFill>
            <w14:solidFill>
              <w14:schemeClr w14:val="tx1"/>
            </w14:solidFill>
          </w14:textFill>
        </w:rPr>
        <w:t>常山县人民政府办公室关于印发《</w:t>
      </w:r>
      <w:r>
        <w:rPr>
          <w:rFonts w:hint="eastAsia" w:cs="宋体"/>
          <w:color w:val="000000" w:themeColor="text1"/>
          <w:sz w:val="21"/>
          <w:szCs w:val="21"/>
          <w:highlight w:val="none"/>
          <w:lang w:eastAsia="zh-CN"/>
          <w14:textFill>
            <w14:solidFill>
              <w14:schemeClr w14:val="tx1"/>
            </w14:solidFill>
          </w14:textFill>
        </w:rPr>
        <w:t>常山县县级财政资金竞争性存放管理暂行办法</w:t>
      </w:r>
      <w:r>
        <w:rPr>
          <w:rFonts w:hint="eastAsia" w:eastAsia="宋体" w:cs="宋体"/>
          <w:color w:val="000000" w:themeColor="text1"/>
          <w:sz w:val="21"/>
          <w:szCs w:val="21"/>
          <w:highlight w:val="none"/>
          <w:lang w:eastAsia="zh-CN"/>
          <w14:textFill>
            <w14:solidFill>
              <w14:schemeClr w14:val="tx1"/>
            </w14:solidFill>
          </w14:textFill>
        </w:rPr>
        <w:t>》的通知（常政办发〔20</w:t>
      </w:r>
      <w:r>
        <w:rPr>
          <w:rFonts w:hint="eastAsia" w:eastAsia="宋体" w:cs="宋体"/>
          <w:color w:val="000000" w:themeColor="text1"/>
          <w:sz w:val="21"/>
          <w:szCs w:val="21"/>
          <w:highlight w:val="none"/>
          <w:lang w:val="en-US" w:eastAsia="zh-CN"/>
          <w14:textFill>
            <w14:solidFill>
              <w14:schemeClr w14:val="tx1"/>
            </w14:solidFill>
          </w14:textFill>
        </w:rPr>
        <w:t>18</w:t>
      </w:r>
      <w:r>
        <w:rPr>
          <w:rFonts w:hint="eastAsia" w:eastAsia="宋体" w:cs="宋体"/>
          <w:color w:val="000000" w:themeColor="text1"/>
          <w:sz w:val="21"/>
          <w:szCs w:val="21"/>
          <w:highlight w:val="none"/>
          <w:lang w:eastAsia="zh-CN"/>
          <w14:textFill>
            <w14:solidFill>
              <w14:schemeClr w14:val="tx1"/>
            </w14:solidFill>
          </w14:textFill>
        </w:rPr>
        <w:t>〕</w:t>
      </w:r>
      <w:r>
        <w:rPr>
          <w:rFonts w:hint="eastAsia" w:eastAsia="宋体" w:cs="宋体"/>
          <w:color w:val="000000" w:themeColor="text1"/>
          <w:sz w:val="21"/>
          <w:szCs w:val="21"/>
          <w:highlight w:val="none"/>
          <w:lang w:val="en-US" w:eastAsia="zh-CN"/>
          <w14:textFill>
            <w14:solidFill>
              <w14:schemeClr w14:val="tx1"/>
            </w14:solidFill>
          </w14:textFill>
        </w:rPr>
        <w:t>16</w:t>
      </w:r>
      <w:r>
        <w:rPr>
          <w:rFonts w:hint="eastAsia" w:cs="宋体"/>
          <w:color w:val="000000" w:themeColor="text1"/>
          <w:sz w:val="21"/>
          <w:szCs w:val="21"/>
          <w:highlight w:val="none"/>
          <w:lang w:val="en-US" w:eastAsia="zh-CN"/>
          <w14:textFill>
            <w14:solidFill>
              <w14:schemeClr w14:val="tx1"/>
            </w14:solidFill>
          </w14:textFill>
        </w:rPr>
        <w:t>5</w:t>
      </w:r>
      <w:r>
        <w:rPr>
          <w:rFonts w:hint="eastAsia" w:eastAsia="宋体" w:cs="宋体"/>
          <w:color w:val="000000" w:themeColor="text1"/>
          <w:sz w:val="21"/>
          <w:szCs w:val="21"/>
          <w:highlight w:val="none"/>
          <w:lang w:val="en-US" w:eastAsia="zh-CN"/>
          <w14:textFill>
            <w14:solidFill>
              <w14:schemeClr w14:val="tx1"/>
            </w14:solidFill>
          </w14:textFill>
        </w:rPr>
        <w:t>号</w:t>
      </w:r>
      <w:r>
        <w:rPr>
          <w:rFonts w:hint="eastAsia"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eastAsia="zh-CN"/>
          <w14:textFill>
            <w14:solidFill>
              <w14:schemeClr w14:val="tx1"/>
            </w14:solidFill>
          </w14:textFill>
        </w:rPr>
        <w:t>等有关</w:t>
      </w:r>
      <w:r>
        <w:rPr>
          <w:rFonts w:hint="eastAsia" w:eastAsia="宋体" w:cs="宋体"/>
          <w:color w:val="000000" w:themeColor="text1"/>
          <w:sz w:val="21"/>
          <w:szCs w:val="21"/>
          <w:highlight w:val="none"/>
          <w:lang w:eastAsia="zh-CN"/>
          <w14:textFill>
            <w14:solidFill>
              <w14:schemeClr w14:val="tx1"/>
            </w14:solidFill>
          </w14:textFill>
        </w:rPr>
        <w:t>规定，决定开展</w:t>
      </w:r>
      <w:r>
        <w:rPr>
          <w:rFonts w:hint="eastAsia" w:cs="宋体"/>
          <w:color w:val="000000" w:themeColor="text1"/>
          <w:sz w:val="21"/>
          <w:szCs w:val="21"/>
          <w:highlight w:val="none"/>
          <w:lang w:eastAsia="zh-CN"/>
          <w14:textFill>
            <w14:solidFill>
              <w14:schemeClr w14:val="tx1"/>
            </w14:solidFill>
          </w14:textFill>
        </w:rPr>
        <w:t>财政资金竞争性</w:t>
      </w:r>
      <w:r>
        <w:rPr>
          <w:rFonts w:hint="eastAsia" w:eastAsia="宋体" w:cs="宋体"/>
          <w:color w:val="000000" w:themeColor="text1"/>
          <w:sz w:val="21"/>
          <w:szCs w:val="21"/>
          <w:highlight w:val="none"/>
          <w:lang w:eastAsia="zh-CN"/>
          <w14:textFill>
            <w14:solidFill>
              <w14:schemeClr w14:val="tx1"/>
            </w14:solidFill>
          </w14:textFill>
        </w:rPr>
        <w:t>存放招标工作，欢迎符合条件的银行机构参加投标。</w:t>
      </w:r>
    </w:p>
    <w:p w14:paraId="0E002257">
      <w:pPr>
        <w:keepNext w:val="0"/>
        <w:keepLines w:val="0"/>
        <w:pageBreakBefore w:val="0"/>
        <w:numPr>
          <w:ilvl w:val="0"/>
          <w:numId w:val="1"/>
        </w:numPr>
        <w:kinsoku/>
        <w:wordWrap/>
        <w:overflowPunct/>
        <w:topLinePunct w:val="0"/>
        <w:autoSpaceDE/>
        <w:autoSpaceDN/>
        <w:bidi w:val="0"/>
        <w:adjustRightInd/>
        <w:snapToGrid/>
        <w:spacing w:line="460" w:lineRule="exact"/>
        <w:ind w:firstLine="420"/>
        <w:textAlignment w:val="baseline"/>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招标人名称：</w:t>
      </w:r>
      <w:r>
        <w:rPr>
          <w:rFonts w:hint="eastAsia" w:ascii="宋体" w:hAnsi="宋体" w:eastAsia="宋体" w:cs="宋体"/>
          <w:b w:val="0"/>
          <w:bCs/>
          <w:color w:val="000000" w:themeColor="text1"/>
          <w:sz w:val="21"/>
          <w:szCs w:val="21"/>
          <w:highlight w:val="none"/>
          <w:lang w:eastAsia="zh-CN"/>
          <w14:textFill>
            <w14:solidFill>
              <w14:schemeClr w14:val="tx1"/>
            </w14:solidFill>
          </w14:textFill>
        </w:rPr>
        <w:t>常山县财政局</w:t>
      </w:r>
    </w:p>
    <w:p w14:paraId="48B9D198">
      <w:pPr>
        <w:keepNext w:val="0"/>
        <w:keepLines w:val="0"/>
        <w:pageBreakBefore w:val="0"/>
        <w:numPr>
          <w:ilvl w:val="0"/>
          <w:numId w:val="1"/>
        </w:numPr>
        <w:kinsoku/>
        <w:wordWrap/>
        <w:overflowPunct/>
        <w:topLinePunct w:val="0"/>
        <w:autoSpaceDE/>
        <w:autoSpaceDN/>
        <w:bidi w:val="0"/>
        <w:adjustRightInd/>
        <w:snapToGrid/>
        <w:spacing w:line="460" w:lineRule="exact"/>
        <w:ind w:firstLine="420"/>
        <w:textAlignment w:val="baseline"/>
        <w:rPr>
          <w:rFonts w:hint="eastAsia" w:ascii="宋体" w:hAnsi="宋体" w:eastAsia="宋体" w:cs="宋体"/>
          <w:b w:val="0"/>
          <w:bCs/>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招标</w:t>
      </w:r>
      <w:r>
        <w:rPr>
          <w:rFonts w:hint="eastAsia" w:ascii="宋体" w:hAnsi="宋体" w:eastAsia="宋体" w:cs="宋体"/>
          <w:b/>
          <w:color w:val="000000" w:themeColor="text1"/>
          <w:sz w:val="21"/>
          <w:szCs w:val="21"/>
          <w:highlight w:val="none"/>
          <w14:textFill>
            <w14:solidFill>
              <w14:schemeClr w14:val="tx1"/>
            </w14:solidFill>
          </w14:textFill>
        </w:rPr>
        <w:t>项目名称：</w:t>
      </w:r>
      <w:r>
        <w:rPr>
          <w:rFonts w:hint="eastAsia" w:ascii="宋体" w:hAnsi="宋体" w:cs="宋体"/>
          <w:b w:val="0"/>
          <w:bCs/>
          <w:color w:val="000000" w:themeColor="text1"/>
          <w:sz w:val="21"/>
          <w:szCs w:val="21"/>
          <w:highlight w:val="none"/>
          <w:lang w:eastAsia="zh-CN"/>
          <w14:textFill>
            <w14:solidFill>
              <w14:schemeClr w14:val="tx1"/>
            </w14:solidFill>
          </w14:textFill>
        </w:rPr>
        <w:t>常山县财政局2025年度第二期财政资金竞争性存放项目</w:t>
      </w:r>
    </w:p>
    <w:p w14:paraId="7497639C">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三、招标</w:t>
      </w:r>
      <w:r>
        <w:rPr>
          <w:rFonts w:hint="eastAsia" w:ascii="宋体" w:hAnsi="宋体" w:eastAsia="宋体" w:cs="宋体"/>
          <w:b/>
          <w:color w:val="000000" w:themeColor="text1"/>
          <w:sz w:val="21"/>
          <w:szCs w:val="21"/>
          <w:highlight w:val="none"/>
          <w14:textFill>
            <w14:solidFill>
              <w14:schemeClr w14:val="tx1"/>
            </w14:solidFill>
          </w14:textFill>
        </w:rPr>
        <w:t>项目编号：</w:t>
      </w:r>
      <w:r>
        <w:rPr>
          <w:rFonts w:hint="eastAsia" w:ascii="宋体" w:hAnsi="宋体" w:cs="宋体"/>
          <w:b w:val="0"/>
          <w:bCs/>
          <w:color w:val="000000" w:themeColor="text1"/>
          <w:sz w:val="21"/>
          <w:szCs w:val="21"/>
          <w:highlight w:val="none"/>
          <w:lang w:eastAsia="zh-CN"/>
          <w14:textFill>
            <w14:solidFill>
              <w14:schemeClr w14:val="tx1"/>
            </w14:solidFill>
          </w14:textFill>
        </w:rPr>
        <w:t>TYZX-GK-202529</w:t>
      </w:r>
    </w:p>
    <w:p w14:paraId="1D091856">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四、招标项目</w:t>
      </w:r>
      <w:r>
        <w:rPr>
          <w:rFonts w:hint="eastAsia" w:ascii="宋体" w:hAnsi="宋体" w:eastAsia="宋体" w:cs="宋体"/>
          <w:b/>
          <w:color w:val="000000" w:themeColor="text1"/>
          <w:sz w:val="21"/>
          <w:szCs w:val="21"/>
          <w:highlight w:val="none"/>
          <w14:textFill>
            <w14:solidFill>
              <w14:schemeClr w14:val="tx1"/>
            </w14:solidFill>
          </w14:textFill>
        </w:rPr>
        <w:t>内容</w:t>
      </w:r>
    </w:p>
    <w:p w14:paraId="10AB640B">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b w:val="0"/>
          <w:bCs/>
          <w:color w:val="000000" w:themeColor="text1"/>
          <w:sz w:val="21"/>
          <w:szCs w:val="21"/>
          <w:highlight w:val="none"/>
          <w:lang w:eastAsia="zh-CN"/>
          <w14:textFill>
            <w14:solidFill>
              <w14:schemeClr w14:val="tx1"/>
            </w14:solidFill>
          </w14:textFill>
        </w:rPr>
        <w:t>常山县财政局2025年度第二期财政资金竞争性存放项目，本次招标金额总计</w:t>
      </w:r>
      <w:r>
        <w:rPr>
          <w:rFonts w:hint="eastAsia" w:ascii="宋体" w:hAnsi="宋体" w:cs="宋体"/>
          <w:b w:val="0"/>
          <w:bCs/>
          <w:color w:val="000000" w:themeColor="text1"/>
          <w:sz w:val="21"/>
          <w:szCs w:val="21"/>
          <w:highlight w:val="none"/>
          <w:lang w:val="en-US" w:eastAsia="zh-CN"/>
          <w14:textFill>
            <w14:solidFill>
              <w14:schemeClr w14:val="tx1"/>
            </w14:solidFill>
          </w14:textFill>
        </w:rPr>
        <w:t>6.2亿元（半年期1.2亿元）</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15578298">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五</w:t>
      </w:r>
      <w:r>
        <w:rPr>
          <w:rFonts w:hint="eastAsia" w:ascii="宋体" w:hAnsi="宋体" w:eastAsia="宋体" w:cs="宋体"/>
          <w:b/>
          <w:color w:val="000000" w:themeColor="text1"/>
          <w:sz w:val="21"/>
          <w:szCs w:val="21"/>
          <w:highlight w:val="none"/>
          <w14:textFill>
            <w14:solidFill>
              <w14:schemeClr w14:val="tx1"/>
            </w14:solidFill>
          </w14:textFill>
        </w:rPr>
        <w:t>、投标人的资格要求</w:t>
      </w:r>
    </w:p>
    <w:p w14:paraId="5F716CB2">
      <w:pPr>
        <w:pStyle w:val="13"/>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right="0" w:rightChars="0" w:firstLine="525" w:firstLineChars="250"/>
        <w:jc w:val="both"/>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参与财政资金存放的银行，是指在中华人民共和国境内依法设立的国有商业银行、股份制商业银行、邮政储蓄银行、城市商业银行、农村信用合作联社、农村商业银行、农村合作银行及政策性银行，并在常山县域所在地设有分支机构，有资格参与投标竞争性存放资金的银行应符合下列条件：</w:t>
      </w:r>
    </w:p>
    <w:p w14:paraId="339759E3">
      <w:pPr>
        <w:pStyle w:val="13"/>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right="0" w:rightChars="0" w:firstLine="525" w:firstLineChars="250"/>
        <w:jc w:val="both"/>
        <w:textAlignment w:val="auto"/>
        <w:outlineLvl w:val="9"/>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1.依法开展经营活动，内部管理机制健全，具有较强的风险控制能力，近3年内在经营活动中无重大违法违规记录、未发生金融风险及重大违约事件；</w:t>
      </w:r>
    </w:p>
    <w:p w14:paraId="6A2CC285">
      <w:pPr>
        <w:pStyle w:val="13"/>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right="0" w:rightChars="0" w:firstLine="525" w:firstLineChars="250"/>
        <w:jc w:val="both"/>
        <w:textAlignment w:val="auto"/>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bidi="ar-SA"/>
          <w14:textFill>
            <w14:solidFill>
              <w14:schemeClr w14:val="tx1"/>
            </w14:solidFill>
          </w14:textFill>
        </w:rPr>
        <w:t>2.纳入监管评级的银行，人民银行上年度综合评价应达到B级及以上，不纳入人民银行综合评价范围的银行不受此限制。</w:t>
      </w:r>
    </w:p>
    <w:p w14:paraId="42B53C34">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六</w:t>
      </w: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
          <w:color w:val="000000" w:themeColor="text1"/>
          <w:sz w:val="21"/>
          <w:szCs w:val="21"/>
          <w:highlight w:val="none"/>
          <w:lang w:eastAsia="zh-CN"/>
          <w14:textFill>
            <w14:solidFill>
              <w14:schemeClr w14:val="tx1"/>
            </w14:solidFill>
          </w14:textFill>
        </w:rPr>
        <w:t>投标报名</w:t>
      </w:r>
    </w:p>
    <w:p w14:paraId="5AA73682">
      <w:pPr>
        <w:keepNext w:val="0"/>
        <w:keepLines w:val="0"/>
        <w:pageBreakBefore w:val="0"/>
        <w:kinsoku/>
        <w:wordWrap/>
        <w:overflowPunct/>
        <w:topLinePunct w:val="0"/>
        <w:autoSpaceDE/>
        <w:autoSpaceDN/>
        <w:bidi w:val="0"/>
        <w:adjustRightInd/>
        <w:spacing w:line="460" w:lineRule="exact"/>
        <w:ind w:firstLine="420" w:firstLineChars="20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（一）报名</w:t>
      </w: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b/>
          <w:bCs/>
          <w:color w:val="000000" w:themeColor="text1"/>
          <w:highlight w:val="none"/>
          <w:lang w:eastAsia="zh-CN"/>
          <w14:textFill>
            <w14:solidFill>
              <w14:schemeClr w14:val="tx1"/>
            </w14:solidFill>
          </w14:textFill>
        </w:rPr>
        <w:t>20</w:t>
      </w:r>
      <w:r>
        <w:rPr>
          <w:rFonts w:hint="eastAsia" w:ascii="宋体" w:hAnsi="宋体" w:cs="宋体"/>
          <w:b/>
          <w:bCs/>
          <w:color w:val="000000" w:themeColor="text1"/>
          <w:highlight w:val="none"/>
          <w:lang w:val="en-US" w:eastAsia="zh-CN"/>
          <w14:textFill>
            <w14:solidFill>
              <w14:schemeClr w14:val="tx1"/>
            </w14:solidFill>
          </w14:textFill>
        </w:rPr>
        <w:t>25</w:t>
      </w:r>
      <w:r>
        <w:rPr>
          <w:rFonts w:hint="eastAsia" w:ascii="宋体" w:hAnsi="宋体" w:cs="宋体"/>
          <w:b/>
          <w:bCs/>
          <w:color w:val="000000" w:themeColor="text1"/>
          <w:highlight w:val="none"/>
          <w:lang w:eastAsia="zh-CN"/>
          <w14:textFill>
            <w14:solidFill>
              <w14:schemeClr w14:val="tx1"/>
            </w14:solidFill>
          </w14:textFill>
        </w:rPr>
        <w:t>年</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cs="宋体"/>
          <w:b/>
          <w:bCs/>
          <w:color w:val="000000" w:themeColor="text1"/>
          <w:highlight w:val="none"/>
          <w:lang w:eastAsia="zh-CN"/>
          <w14:textFill>
            <w14:solidFill>
              <w14:schemeClr w14:val="tx1"/>
            </w14:solidFill>
          </w14:textFill>
        </w:rPr>
        <w:t>月</w:t>
      </w:r>
      <w:r>
        <w:rPr>
          <w:rFonts w:hint="eastAsia" w:ascii="宋体" w:hAnsi="宋体" w:cs="宋体"/>
          <w:b/>
          <w:bCs/>
          <w:color w:val="000000" w:themeColor="text1"/>
          <w:highlight w:val="none"/>
          <w:lang w:val="en-US" w:eastAsia="zh-CN"/>
          <w14:textFill>
            <w14:solidFill>
              <w14:schemeClr w14:val="tx1"/>
            </w14:solidFill>
          </w14:textFill>
        </w:rPr>
        <w:t>15</w:t>
      </w:r>
      <w:r>
        <w:rPr>
          <w:rFonts w:hint="eastAsia" w:ascii="宋体" w:hAnsi="宋体" w:cs="宋体"/>
          <w:b/>
          <w:bCs/>
          <w:color w:val="000000" w:themeColor="text1"/>
          <w:highlight w:val="none"/>
          <w:lang w:eastAsia="zh-CN"/>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至</w:t>
      </w:r>
      <w:r>
        <w:rPr>
          <w:rFonts w:hint="eastAsia" w:ascii="宋体" w:hAnsi="宋体" w:cs="宋体"/>
          <w:b/>
          <w:bCs/>
          <w:color w:val="000000" w:themeColor="text1"/>
          <w:highlight w:val="none"/>
          <w:lang w:eastAsia="zh-CN"/>
          <w14:textFill>
            <w14:solidFill>
              <w14:schemeClr w14:val="tx1"/>
            </w14:solidFill>
          </w14:textFill>
        </w:rPr>
        <w:t>20</w:t>
      </w:r>
      <w:r>
        <w:rPr>
          <w:rFonts w:hint="eastAsia" w:ascii="宋体" w:hAnsi="宋体" w:cs="宋体"/>
          <w:b/>
          <w:bCs/>
          <w:color w:val="000000" w:themeColor="text1"/>
          <w:highlight w:val="none"/>
          <w:lang w:val="en-US" w:eastAsia="zh-CN"/>
          <w14:textFill>
            <w14:solidFill>
              <w14:schemeClr w14:val="tx1"/>
            </w14:solidFill>
          </w14:textFill>
        </w:rPr>
        <w:t>25</w:t>
      </w:r>
      <w:r>
        <w:rPr>
          <w:rFonts w:hint="eastAsia" w:ascii="宋体" w:hAnsi="宋体" w:cs="宋体"/>
          <w:b/>
          <w:bCs/>
          <w:color w:val="000000" w:themeColor="text1"/>
          <w:highlight w:val="none"/>
          <w:lang w:eastAsia="zh-CN"/>
          <w14:textFill>
            <w14:solidFill>
              <w14:schemeClr w14:val="tx1"/>
            </w14:solidFill>
          </w14:textFill>
        </w:rPr>
        <w:t>年</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cs="宋体"/>
          <w:b/>
          <w:bCs/>
          <w:color w:val="000000" w:themeColor="text1"/>
          <w:highlight w:val="none"/>
          <w:lang w:eastAsia="zh-CN"/>
          <w14:textFill>
            <w14:solidFill>
              <w14:schemeClr w14:val="tx1"/>
            </w14:solidFill>
          </w14:textFill>
        </w:rPr>
        <w:t>月</w:t>
      </w:r>
      <w:r>
        <w:rPr>
          <w:rFonts w:hint="eastAsia" w:ascii="宋体" w:hAnsi="宋体" w:cs="宋体"/>
          <w:b/>
          <w:bCs/>
          <w:color w:val="000000" w:themeColor="text1"/>
          <w:highlight w:val="none"/>
          <w:lang w:val="en-US" w:eastAsia="zh-CN"/>
          <w14:textFill>
            <w14:solidFill>
              <w14:schemeClr w14:val="tx1"/>
            </w14:solidFill>
          </w14:textFill>
        </w:rPr>
        <w:t>22</w:t>
      </w:r>
      <w:r>
        <w:rPr>
          <w:rFonts w:hint="eastAsia" w:ascii="宋体" w:hAnsi="宋体" w:cs="宋体"/>
          <w:b/>
          <w:bCs/>
          <w:color w:val="000000" w:themeColor="text1"/>
          <w:highlight w:val="none"/>
          <w:lang w:eastAsia="zh-CN"/>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每天上午00:00至12:00，下午12:00至23:59（北京时间）</w:t>
      </w:r>
      <w:r>
        <w:rPr>
          <w:rFonts w:hint="eastAsia" w:ascii="宋体" w:hAnsi="宋体" w:cs="宋体"/>
          <w:color w:val="000000" w:themeColor="text1"/>
          <w:szCs w:val="21"/>
          <w:highlight w:val="none"/>
          <w:lang w:eastAsia="zh-CN"/>
          <w14:textFill>
            <w14:solidFill>
              <w14:schemeClr w14:val="tx1"/>
            </w14:solidFill>
          </w14:textFill>
        </w:rPr>
        <w:t>。</w:t>
      </w:r>
    </w:p>
    <w:p w14:paraId="53479504">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（二）报名方式：本项目实行网上报名，不接受现场报名。投标人</w:t>
      </w:r>
      <w:r>
        <w:rPr>
          <w:rFonts w:hint="eastAsia" w:ascii="宋体" w:hAnsi="宋体" w:cs="宋体"/>
          <w:color w:val="000000" w:themeColor="text1"/>
          <w:szCs w:val="21"/>
          <w:highlight w:val="none"/>
          <w14:textFill>
            <w14:solidFill>
              <w14:schemeClr w14:val="tx1"/>
            </w14:solidFill>
          </w14:textFill>
        </w:rPr>
        <w:t>登录“</w:t>
      </w:r>
      <w:r>
        <w:rPr>
          <w:rFonts w:hint="eastAsia" w:ascii="宋体" w:hAnsi="宋体" w:cs="宋体"/>
          <w:color w:val="000000" w:themeColor="text1"/>
          <w:szCs w:val="21"/>
          <w:highlight w:val="none"/>
          <w:lang w:val="en-US" w:eastAsia="zh-CN"/>
          <w14:textFill>
            <w14:solidFill>
              <w14:schemeClr w14:val="tx1"/>
            </w14:solidFill>
          </w14:textFill>
        </w:rPr>
        <w:t>浙江省公款竞争性存放网上招标平台</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 xml:space="preserve"> https://gkcf-login.czt.zj.gov.cn</w:t>
      </w:r>
      <w:r>
        <w:rPr>
          <w:rFonts w:hint="eastAsia" w:ascii="宋体" w:hAnsi="宋体" w:cs="宋体"/>
          <w:color w:val="000000" w:themeColor="text1"/>
          <w:szCs w:val="21"/>
          <w:highlight w:val="none"/>
          <w14:textFill>
            <w14:solidFill>
              <w14:schemeClr w14:val="tx1"/>
            </w14:solidFill>
          </w14:textFill>
        </w:rPr>
        <w:t>）进入公款竞争性存放招标系统（以下简称“招标系统”），在竞标项目内按规定进行报名。第一步：选择本期招标项目，第二步：填写报名信息。报名成功后联系人会收到短信通知，逾期报名视为未报名。</w:t>
      </w:r>
    </w:p>
    <w:p w14:paraId="383BBA5C">
      <w:pPr>
        <w:spacing w:line="460" w:lineRule="exact"/>
        <w:ind w:firstLine="420" w:firstLineChars="200"/>
        <w:jc w:val="left"/>
        <w:rPr>
          <w:rFonts w:hint="eastAsia" w:ascii="宋体" w:hAnsi="宋体" w:cs="宋体"/>
          <w:color w:val="000000" w:themeColor="text1"/>
          <w:szCs w:val="21"/>
          <w:highlight w:val="none"/>
          <w:lang w:eastAsia="zh-CN"/>
          <w14:textFill>
            <w14:solidFill>
              <w14:schemeClr w14:val="tx1"/>
            </w14:solidFill>
          </w14:textFill>
        </w:rPr>
      </w:pPr>
      <w:bookmarkStart w:id="9" w:name="_Toc35393801"/>
      <w:bookmarkStart w:id="10" w:name="_Toc28359015"/>
      <w:bookmarkStart w:id="11" w:name="_Toc35393632"/>
      <w:bookmarkStart w:id="12" w:name="_Toc28359092"/>
      <w:r>
        <w:rPr>
          <w:rFonts w:hint="eastAsia" w:ascii="宋体" w:hAnsi="宋体" w:cs="宋体"/>
          <w:color w:val="000000" w:themeColor="text1"/>
          <w:szCs w:val="21"/>
          <w:highlight w:val="none"/>
          <w:lang w:val="en-US" w:eastAsia="zh-CN"/>
          <w14:textFill>
            <w14:solidFill>
              <w14:schemeClr w14:val="tx1"/>
            </w14:solidFill>
          </w14:textFill>
        </w:rPr>
        <w:t>（三）</w:t>
      </w:r>
      <w:r>
        <w:rPr>
          <w:rFonts w:hint="eastAsia" w:ascii="宋体" w:hAnsi="宋体" w:cs="宋体"/>
          <w:color w:val="000000" w:themeColor="text1"/>
          <w:szCs w:val="21"/>
          <w:highlight w:val="none"/>
          <w:lang w:eastAsia="zh-CN"/>
          <w14:textFill>
            <w14:solidFill>
              <w14:schemeClr w14:val="tx1"/>
            </w14:solidFill>
          </w14:textFill>
        </w:rPr>
        <w:t>招标文件获取方式及地址：线上获取。“</w:t>
      </w:r>
      <w:r>
        <w:rPr>
          <w:rFonts w:hint="eastAsia" w:ascii="宋体" w:hAnsi="宋体" w:cs="宋体"/>
          <w:color w:val="000000" w:themeColor="text1"/>
          <w:szCs w:val="21"/>
          <w:highlight w:val="none"/>
          <w:lang w:val="en-US" w:eastAsia="zh-CN"/>
          <w14:textFill>
            <w14:solidFill>
              <w14:schemeClr w14:val="tx1"/>
            </w14:solidFill>
          </w14:textFill>
        </w:rPr>
        <w:t>浙江省公款竞争性存放网上招标平台</w:t>
      </w:r>
      <w:r>
        <w:rPr>
          <w:rFonts w:hint="eastAsia" w:ascii="宋体" w:hAnsi="宋体" w:cs="宋体"/>
          <w:color w:val="000000" w:themeColor="text1"/>
          <w:szCs w:val="21"/>
          <w:highlight w:val="none"/>
          <w:lang w:eastAsia="zh-CN"/>
          <w14:textFill>
            <w14:solidFill>
              <w14:schemeClr w14:val="tx1"/>
            </w14:solidFill>
          </w14:textFill>
        </w:rPr>
        <w:t>https://gkcf-login.czt.zj.gov.cn”获取。</w:t>
      </w:r>
    </w:p>
    <w:p w14:paraId="572C2515">
      <w:pPr>
        <w:spacing w:line="46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（四）报名所需资料：</w:t>
      </w:r>
    </w:p>
    <w:p w14:paraId="717ED23D">
      <w:pPr>
        <w:spacing w:line="46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法定代表人（单位负责人）身份证明【格式见附件2-1】及法定代表人（单位负责人）的身份证复印件【如投标人代表是法定代表人（单位负责人）的】，或法定代表人（单位负责人）出具的授权委托书【格式见附件2-2】及法定代表人（单位负责人）和代理人的身份证复印件【如投标人代表不是法定代表人（单位负责人）的】；</w:t>
      </w:r>
    </w:p>
    <w:p w14:paraId="7C73AF81">
      <w:pPr>
        <w:spacing w:line="460" w:lineRule="exact"/>
        <w:ind w:firstLine="420" w:firstLineChars="200"/>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2.参加招标活动近三年内在经营活动中无重大违法违规记录及重大违约事件的声明书；</w:t>
      </w:r>
    </w:p>
    <w:p w14:paraId="331812CB">
      <w:pPr>
        <w:spacing w:line="460" w:lineRule="exact"/>
        <w:ind w:firstLine="420" w:firstLineChars="200"/>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3.营业执照、金融许可证复印件。</w:t>
      </w:r>
    </w:p>
    <w:p w14:paraId="4D7BE2D5">
      <w:pPr>
        <w:widowControl/>
        <w:spacing w:line="460" w:lineRule="exact"/>
        <w:ind w:firstLine="420" w:firstLineChars="200"/>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七、</w:t>
      </w:r>
      <w:bookmarkEnd w:id="9"/>
      <w:bookmarkEnd w:id="10"/>
      <w:bookmarkEnd w:id="11"/>
      <w:bookmarkEnd w:id="12"/>
      <w:r>
        <w:rPr>
          <w:rFonts w:hint="eastAsia" w:ascii="宋体" w:hAnsi="宋体" w:cs="宋体"/>
          <w:b/>
          <w:color w:val="000000" w:themeColor="text1"/>
          <w:szCs w:val="21"/>
          <w:highlight w:val="none"/>
          <w:lang w:eastAsia="zh-CN"/>
          <w14:textFill>
            <w14:solidFill>
              <w14:schemeClr w14:val="tx1"/>
            </w14:solidFill>
          </w14:textFill>
        </w:rPr>
        <w:t>投标起止时间及地点</w:t>
      </w:r>
      <w:r>
        <w:rPr>
          <w:rFonts w:hint="eastAsia" w:ascii="宋体" w:hAnsi="宋体" w:cs="宋体"/>
          <w:b/>
          <w:color w:val="000000" w:themeColor="text1"/>
          <w:szCs w:val="21"/>
          <w:highlight w:val="none"/>
          <w:lang w:val="en-US" w:eastAsia="zh-CN"/>
          <w14:textFill>
            <w14:solidFill>
              <w14:schemeClr w14:val="tx1"/>
            </w14:solidFill>
          </w14:textFill>
        </w:rPr>
        <w:t xml:space="preserve"> </w:t>
      </w:r>
    </w:p>
    <w:p w14:paraId="08E8E496">
      <w:pPr>
        <w:spacing w:line="46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起</w:t>
      </w:r>
      <w:r>
        <w:rPr>
          <w:rFonts w:hint="eastAsia" w:ascii="宋体" w:hAnsi="宋体" w:cs="宋体"/>
          <w:color w:val="000000" w:themeColor="text1"/>
          <w:szCs w:val="21"/>
          <w:highlight w:val="none"/>
          <w14:textFill>
            <w14:solidFill>
              <w14:schemeClr w14:val="tx1"/>
            </w14:solidFill>
          </w14:textFill>
        </w:rPr>
        <w:t>止时间：</w:t>
      </w:r>
      <w:r>
        <w:rPr>
          <w:rFonts w:hint="eastAsia" w:ascii="宋体" w:hAnsi="宋体" w:cs="宋体"/>
          <w:b/>
          <w:bCs/>
          <w:color w:val="000000" w:themeColor="text1"/>
          <w:highlight w:val="none"/>
          <w:lang w:eastAsia="zh-CN"/>
          <w14:textFill>
            <w14:solidFill>
              <w14:schemeClr w14:val="tx1"/>
            </w14:solidFill>
          </w14:textFill>
        </w:rPr>
        <w:t>20</w:t>
      </w:r>
      <w:r>
        <w:rPr>
          <w:rFonts w:hint="eastAsia" w:ascii="宋体" w:hAnsi="宋体" w:cs="宋体"/>
          <w:b/>
          <w:bCs/>
          <w:color w:val="000000" w:themeColor="text1"/>
          <w:highlight w:val="none"/>
          <w:lang w:val="en-US" w:eastAsia="zh-CN"/>
          <w14:textFill>
            <w14:solidFill>
              <w14:schemeClr w14:val="tx1"/>
            </w14:solidFill>
          </w14:textFill>
        </w:rPr>
        <w:t>25</w:t>
      </w:r>
      <w:r>
        <w:rPr>
          <w:rFonts w:hint="eastAsia" w:ascii="宋体" w:hAnsi="宋体" w:cs="宋体"/>
          <w:b/>
          <w:bCs/>
          <w:color w:val="000000" w:themeColor="text1"/>
          <w:highlight w:val="none"/>
          <w:lang w:eastAsia="zh-CN"/>
          <w14:textFill>
            <w14:solidFill>
              <w14:schemeClr w14:val="tx1"/>
            </w14:solidFill>
          </w14:textFill>
        </w:rPr>
        <w:t>年</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cs="宋体"/>
          <w:b/>
          <w:bCs/>
          <w:color w:val="000000" w:themeColor="text1"/>
          <w:highlight w:val="none"/>
          <w:lang w:eastAsia="zh-CN"/>
          <w14:textFill>
            <w14:solidFill>
              <w14:schemeClr w14:val="tx1"/>
            </w14:solidFill>
          </w14:textFill>
        </w:rPr>
        <w:t>月</w:t>
      </w:r>
      <w:r>
        <w:rPr>
          <w:rFonts w:hint="eastAsia" w:ascii="宋体" w:hAnsi="宋体" w:cs="宋体"/>
          <w:b/>
          <w:bCs/>
          <w:color w:val="000000" w:themeColor="text1"/>
          <w:highlight w:val="none"/>
          <w:lang w:val="en-US" w:eastAsia="zh-CN"/>
          <w14:textFill>
            <w14:solidFill>
              <w14:schemeClr w14:val="tx1"/>
            </w14:solidFill>
          </w14:textFill>
        </w:rPr>
        <w:t>15</w:t>
      </w:r>
      <w:r>
        <w:rPr>
          <w:rFonts w:hint="eastAsia" w:ascii="宋体" w:hAnsi="宋体" w:cs="宋体"/>
          <w:b/>
          <w:bCs/>
          <w:color w:val="000000" w:themeColor="text1"/>
          <w:highlight w:val="none"/>
          <w:lang w:eastAsia="zh-CN"/>
          <w14:textFill>
            <w14:solidFill>
              <w14:schemeClr w14:val="tx1"/>
            </w14:solidFill>
          </w14:textFill>
        </w:rPr>
        <w:t>日</w:t>
      </w:r>
      <w:r>
        <w:rPr>
          <w:rFonts w:hint="eastAsia" w:ascii="宋体" w:hAnsi="宋体" w:cs="宋体"/>
          <w:color w:val="000000" w:themeColor="text1"/>
          <w:szCs w:val="21"/>
          <w:highlight w:val="none"/>
          <w14:textFill>
            <w14:solidFill>
              <w14:schemeClr w14:val="tx1"/>
            </w14:solidFill>
          </w14:textFill>
        </w:rPr>
        <w:t>至</w:t>
      </w:r>
      <w:r>
        <w:rPr>
          <w:rFonts w:hint="eastAsia" w:ascii="宋体" w:hAnsi="宋体" w:cs="宋体"/>
          <w:b/>
          <w:bCs/>
          <w:color w:val="000000" w:themeColor="text1"/>
          <w:highlight w:val="none"/>
          <w:lang w:eastAsia="zh-CN"/>
          <w14:textFill>
            <w14:solidFill>
              <w14:schemeClr w14:val="tx1"/>
            </w14:solidFill>
          </w14:textFill>
        </w:rPr>
        <w:t>20</w:t>
      </w:r>
      <w:r>
        <w:rPr>
          <w:rFonts w:hint="eastAsia" w:ascii="宋体" w:hAnsi="宋体" w:cs="宋体"/>
          <w:b/>
          <w:bCs/>
          <w:color w:val="000000" w:themeColor="text1"/>
          <w:highlight w:val="none"/>
          <w:lang w:val="en-US" w:eastAsia="zh-CN"/>
          <w14:textFill>
            <w14:solidFill>
              <w14:schemeClr w14:val="tx1"/>
            </w14:solidFill>
          </w14:textFill>
        </w:rPr>
        <w:t>25</w:t>
      </w:r>
      <w:r>
        <w:rPr>
          <w:rFonts w:hint="eastAsia" w:ascii="宋体" w:hAnsi="宋体" w:cs="宋体"/>
          <w:b/>
          <w:bCs/>
          <w:color w:val="000000" w:themeColor="text1"/>
          <w:highlight w:val="none"/>
          <w:lang w:eastAsia="zh-CN"/>
          <w14:textFill>
            <w14:solidFill>
              <w14:schemeClr w14:val="tx1"/>
            </w14:solidFill>
          </w14:textFill>
        </w:rPr>
        <w:t>年</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cs="宋体"/>
          <w:b/>
          <w:bCs/>
          <w:color w:val="000000" w:themeColor="text1"/>
          <w:highlight w:val="none"/>
          <w:lang w:eastAsia="zh-CN"/>
          <w14:textFill>
            <w14:solidFill>
              <w14:schemeClr w14:val="tx1"/>
            </w14:solidFill>
          </w14:textFill>
        </w:rPr>
        <w:t>月</w:t>
      </w:r>
      <w:r>
        <w:rPr>
          <w:rFonts w:hint="eastAsia" w:ascii="宋体" w:hAnsi="宋体" w:cs="宋体"/>
          <w:b/>
          <w:bCs/>
          <w:color w:val="000000" w:themeColor="text1"/>
          <w:highlight w:val="none"/>
          <w:lang w:val="en-US" w:eastAsia="zh-CN"/>
          <w14:textFill>
            <w14:solidFill>
              <w14:schemeClr w14:val="tx1"/>
            </w14:solidFill>
          </w14:textFill>
        </w:rPr>
        <w:t>23</w:t>
      </w:r>
      <w:r>
        <w:rPr>
          <w:rFonts w:hint="eastAsia" w:ascii="宋体" w:hAnsi="宋体" w:cs="宋体"/>
          <w:b/>
          <w:bCs/>
          <w:color w:val="000000" w:themeColor="text1"/>
          <w:highlight w:val="none"/>
          <w:lang w:eastAsia="zh-CN"/>
          <w14:textFill>
            <w14:solidFill>
              <w14:schemeClr w14:val="tx1"/>
            </w14:solidFill>
          </w14:textFill>
        </w:rPr>
        <w:t>日</w:t>
      </w:r>
      <w:r>
        <w:rPr>
          <w:rFonts w:hint="eastAsia" w:ascii="宋体" w:hAnsi="宋体" w:cs="宋体"/>
          <w:b/>
          <w:bCs/>
          <w:color w:val="000000" w:themeColor="text1"/>
          <w:highlight w:val="none"/>
          <w:lang w:val="en-US" w:eastAsia="zh-CN"/>
          <w14:textFill>
            <w14:solidFill>
              <w14:schemeClr w14:val="tx1"/>
            </w14:solidFill>
          </w14:textFill>
        </w:rPr>
        <w:t>09:30</w:t>
      </w:r>
      <w:r>
        <w:rPr>
          <w:rFonts w:hint="eastAsia" w:ascii="宋体" w:hAnsi="宋体" w:cs="宋体"/>
          <w:color w:val="000000" w:themeColor="text1"/>
          <w:szCs w:val="21"/>
          <w:highlight w:val="none"/>
          <w14:textFill>
            <w14:solidFill>
              <w14:schemeClr w14:val="tx1"/>
            </w14:solidFill>
          </w14:textFill>
        </w:rPr>
        <w:t>（北京时间）前将</w:t>
      </w:r>
      <w:r>
        <w:rPr>
          <w:rFonts w:hint="eastAsia" w:ascii="宋体" w:hAnsi="宋体" w:cs="宋体"/>
          <w:color w:val="000000" w:themeColor="text1"/>
          <w:szCs w:val="21"/>
          <w:highlight w:val="none"/>
          <w:lang w:eastAsia="zh-CN"/>
          <w14:textFill>
            <w14:solidFill>
              <w14:schemeClr w14:val="tx1"/>
            </w14:solidFill>
          </w14:textFill>
        </w:rPr>
        <w:t>电子投标文件</w:t>
      </w:r>
      <w:r>
        <w:rPr>
          <w:rFonts w:hint="eastAsia" w:ascii="宋体" w:hAnsi="宋体" w:cs="宋体"/>
          <w:color w:val="000000" w:themeColor="text1"/>
          <w:szCs w:val="21"/>
          <w:highlight w:val="none"/>
          <w14:textFill>
            <w14:solidFill>
              <w14:schemeClr w14:val="tx1"/>
            </w14:solidFill>
          </w14:textFill>
        </w:rPr>
        <w:t>通过“政采云电子投标客户端”上传至</w:t>
      </w:r>
      <w:r>
        <w:rPr>
          <w:rFonts w:hint="eastAsia" w:ascii="宋体" w:hAnsi="宋体" w:cs="宋体"/>
          <w:color w:val="000000" w:themeColor="text1"/>
          <w:szCs w:val="21"/>
          <w:highlight w:val="none"/>
          <w:lang w:eastAsia="zh-CN"/>
          <w14:textFill>
            <w14:solidFill>
              <w14:schemeClr w14:val="tx1"/>
            </w14:solidFill>
          </w14:textFill>
        </w:rPr>
        <w:t>浙江省公款竞争性存放网上招标平台</w:t>
      </w:r>
      <w:r>
        <w:rPr>
          <w:rFonts w:hint="eastAsia" w:ascii="宋体" w:hAnsi="宋体" w:cs="宋体"/>
          <w:color w:val="000000" w:themeColor="text1"/>
          <w:szCs w:val="21"/>
          <w:highlight w:val="none"/>
          <w14:textFill>
            <w14:solidFill>
              <w14:schemeClr w14:val="tx1"/>
            </w14:solidFill>
          </w14:textFill>
        </w:rPr>
        <w:t>，逾期上传的将予以拒收。</w:t>
      </w:r>
    </w:p>
    <w:p w14:paraId="599855EA">
      <w:pPr>
        <w:spacing w:line="46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地点</w:t>
      </w:r>
      <w:r>
        <w:rPr>
          <w:rFonts w:hint="eastAsia" w:ascii="宋体" w:hAnsi="宋体" w:cs="宋体"/>
          <w:color w:val="000000" w:themeColor="text1"/>
          <w:szCs w:val="21"/>
          <w:highlight w:val="none"/>
          <w14:textFill>
            <w14:solidFill>
              <w14:schemeClr w14:val="tx1"/>
            </w14:solidFill>
          </w14:textFill>
        </w:rPr>
        <w:t>：“政府采购云平台</w:t>
      </w:r>
      <w:r>
        <w:rPr>
          <w:rFonts w:hint="eastAsia" w:ascii="宋体" w:hAnsi="宋体" w:cs="宋体"/>
          <w:color w:val="000000" w:themeColor="text1"/>
          <w:szCs w:val="21"/>
          <w:highlight w:val="none"/>
          <w:lang w:eastAsia="zh-CN"/>
          <w14:textFill>
            <w14:solidFill>
              <w14:schemeClr w14:val="tx1"/>
            </w14:solidFill>
          </w14:textFill>
        </w:rPr>
        <w:t>（ https://gkcf-login.czt.zj.gov.cn）</w:t>
      </w:r>
      <w:r>
        <w:rPr>
          <w:rFonts w:hint="eastAsia" w:ascii="宋体" w:hAnsi="宋体" w:cs="宋体"/>
          <w:color w:val="000000" w:themeColor="text1"/>
          <w:szCs w:val="21"/>
          <w:highlight w:val="none"/>
          <w14:textFill>
            <w14:solidFill>
              <w14:schemeClr w14:val="tx1"/>
            </w14:solidFill>
          </w14:textFill>
        </w:rPr>
        <w:t>”在线提交（上传）。</w:t>
      </w:r>
    </w:p>
    <w:p w14:paraId="49125116">
      <w:pPr>
        <w:widowControl/>
        <w:spacing w:line="460" w:lineRule="exact"/>
        <w:ind w:firstLine="420" w:firstLineChars="200"/>
        <w:rPr>
          <w:rFonts w:ascii="宋体" w:hAnsi="宋体" w:cs="宋体"/>
          <w:b/>
          <w:color w:val="000000" w:themeColor="text1"/>
          <w:szCs w:val="21"/>
          <w:highlight w:val="none"/>
          <w14:textFill>
            <w14:solidFill>
              <w14:schemeClr w14:val="tx1"/>
            </w14:solidFill>
          </w14:textFill>
        </w:rPr>
      </w:pPr>
      <w:bookmarkStart w:id="13" w:name="_Toc28359093"/>
      <w:bookmarkStart w:id="14" w:name="_Toc35393633"/>
      <w:bookmarkStart w:id="15" w:name="_Toc28359016"/>
      <w:bookmarkStart w:id="16" w:name="_Toc35393802"/>
      <w:r>
        <w:rPr>
          <w:rFonts w:hint="eastAsia" w:ascii="宋体" w:hAnsi="宋体" w:cs="宋体"/>
          <w:b/>
          <w:color w:val="000000" w:themeColor="text1"/>
          <w:szCs w:val="21"/>
          <w:highlight w:val="none"/>
          <w:lang w:eastAsia="zh-CN"/>
          <w14:textFill>
            <w14:solidFill>
              <w14:schemeClr w14:val="tx1"/>
            </w14:solidFill>
          </w14:textFill>
        </w:rPr>
        <w:t>八</w:t>
      </w:r>
      <w:r>
        <w:rPr>
          <w:rFonts w:hint="eastAsia" w:ascii="宋体" w:hAnsi="宋体" w:cs="宋体"/>
          <w:b/>
          <w:color w:val="000000" w:themeColor="text1"/>
          <w:szCs w:val="21"/>
          <w:highlight w:val="none"/>
          <w14:textFill>
            <w14:solidFill>
              <w14:schemeClr w14:val="tx1"/>
            </w14:solidFill>
          </w14:textFill>
        </w:rPr>
        <w:t>、</w:t>
      </w:r>
      <w:bookmarkEnd w:id="13"/>
      <w:bookmarkEnd w:id="14"/>
      <w:bookmarkEnd w:id="15"/>
      <w:bookmarkEnd w:id="16"/>
      <w:r>
        <w:rPr>
          <w:rFonts w:hint="eastAsia" w:ascii="宋体" w:hAnsi="宋体" w:cs="宋体"/>
          <w:b/>
          <w:color w:val="000000" w:themeColor="text1"/>
          <w:szCs w:val="21"/>
          <w:highlight w:val="none"/>
          <w:lang w:eastAsia="zh-CN"/>
          <w14:textFill>
            <w14:solidFill>
              <w14:schemeClr w14:val="tx1"/>
            </w14:solidFill>
          </w14:textFill>
        </w:rPr>
        <w:t>开标时间及地点</w:t>
      </w:r>
    </w:p>
    <w:p w14:paraId="432D6FEC">
      <w:pPr>
        <w:spacing w:line="460" w:lineRule="exact"/>
        <w:ind w:firstLine="420" w:firstLineChars="2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时间：</w:t>
      </w:r>
      <w:r>
        <w:rPr>
          <w:rFonts w:hint="eastAsia" w:ascii="宋体" w:hAnsi="宋体" w:cs="宋体"/>
          <w:b/>
          <w:bCs/>
          <w:color w:val="000000" w:themeColor="text1"/>
          <w:highlight w:val="none"/>
          <w:lang w:eastAsia="zh-CN"/>
          <w14:textFill>
            <w14:solidFill>
              <w14:schemeClr w14:val="tx1"/>
            </w14:solidFill>
          </w14:textFill>
        </w:rPr>
        <w:t>20</w:t>
      </w:r>
      <w:r>
        <w:rPr>
          <w:rFonts w:hint="eastAsia" w:ascii="宋体" w:hAnsi="宋体" w:cs="宋体"/>
          <w:b/>
          <w:bCs/>
          <w:color w:val="000000" w:themeColor="text1"/>
          <w:highlight w:val="none"/>
          <w:lang w:val="en-US" w:eastAsia="zh-CN"/>
          <w14:textFill>
            <w14:solidFill>
              <w14:schemeClr w14:val="tx1"/>
            </w14:solidFill>
          </w14:textFill>
        </w:rPr>
        <w:t>25</w:t>
      </w:r>
      <w:r>
        <w:rPr>
          <w:rFonts w:hint="eastAsia" w:ascii="宋体" w:hAnsi="宋体" w:cs="宋体"/>
          <w:b/>
          <w:bCs/>
          <w:color w:val="000000" w:themeColor="text1"/>
          <w:highlight w:val="none"/>
          <w:lang w:eastAsia="zh-CN"/>
          <w14:textFill>
            <w14:solidFill>
              <w14:schemeClr w14:val="tx1"/>
            </w14:solidFill>
          </w14:textFill>
        </w:rPr>
        <w:t>年</w:t>
      </w:r>
      <w:r>
        <w:rPr>
          <w:rFonts w:hint="eastAsia" w:ascii="宋体" w:hAnsi="宋体" w:cs="宋体"/>
          <w:b/>
          <w:bCs/>
          <w:color w:val="000000" w:themeColor="text1"/>
          <w:highlight w:val="none"/>
          <w:lang w:val="en-US" w:eastAsia="zh-CN"/>
          <w14:textFill>
            <w14:solidFill>
              <w14:schemeClr w14:val="tx1"/>
            </w14:solidFill>
          </w14:textFill>
        </w:rPr>
        <w:t>12</w:t>
      </w:r>
      <w:r>
        <w:rPr>
          <w:rFonts w:hint="eastAsia" w:ascii="宋体" w:hAnsi="宋体" w:cs="宋体"/>
          <w:b/>
          <w:bCs/>
          <w:color w:val="000000" w:themeColor="text1"/>
          <w:highlight w:val="none"/>
          <w:lang w:eastAsia="zh-CN"/>
          <w14:textFill>
            <w14:solidFill>
              <w14:schemeClr w14:val="tx1"/>
            </w14:solidFill>
          </w14:textFill>
        </w:rPr>
        <w:t>月</w:t>
      </w:r>
      <w:r>
        <w:rPr>
          <w:rFonts w:hint="eastAsia" w:ascii="宋体" w:hAnsi="宋体" w:cs="宋体"/>
          <w:b/>
          <w:bCs/>
          <w:color w:val="000000" w:themeColor="text1"/>
          <w:highlight w:val="none"/>
          <w:lang w:val="en-US" w:eastAsia="zh-CN"/>
          <w14:textFill>
            <w14:solidFill>
              <w14:schemeClr w14:val="tx1"/>
            </w14:solidFill>
          </w14:textFill>
        </w:rPr>
        <w:t>23</w:t>
      </w:r>
      <w:r>
        <w:rPr>
          <w:rFonts w:hint="eastAsia" w:ascii="宋体" w:hAnsi="宋体" w:cs="宋体"/>
          <w:b/>
          <w:bCs/>
          <w:color w:val="000000" w:themeColor="text1"/>
          <w:highlight w:val="none"/>
          <w:lang w:eastAsia="zh-CN"/>
          <w14:textFill>
            <w14:solidFill>
              <w14:schemeClr w14:val="tx1"/>
            </w14:solidFill>
          </w14:textFill>
        </w:rPr>
        <w:t>日</w:t>
      </w:r>
      <w:r>
        <w:rPr>
          <w:rFonts w:hint="eastAsia" w:ascii="宋体" w:hAnsi="宋体" w:cs="宋体"/>
          <w:b/>
          <w:bCs/>
          <w:color w:val="000000" w:themeColor="text1"/>
          <w:highlight w:val="none"/>
          <w:lang w:val="en-US" w:eastAsia="zh-CN"/>
          <w14:textFill>
            <w14:solidFill>
              <w14:schemeClr w14:val="tx1"/>
            </w14:solidFill>
          </w14:textFill>
        </w:rPr>
        <w:t>09:30</w:t>
      </w:r>
      <w:r>
        <w:rPr>
          <w:rFonts w:hint="eastAsia" w:ascii="宋体" w:hAnsi="宋体" w:cs="宋体"/>
          <w:b/>
          <w:bCs/>
          <w:color w:val="000000" w:themeColor="text1"/>
          <w:szCs w:val="21"/>
          <w:highlight w:val="none"/>
          <w14:textFill>
            <w14:solidFill>
              <w14:schemeClr w14:val="tx1"/>
            </w14:solidFill>
          </w14:textFill>
        </w:rPr>
        <w:t>（北京时间）</w:t>
      </w:r>
    </w:p>
    <w:p w14:paraId="2A28EA48">
      <w:pPr>
        <w:spacing w:line="46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地点：常山县紫港街道紫港路2号行政服务中心附属楼二楼衢州市公共资源交易常山分中心开标厅</w:t>
      </w:r>
      <w:r>
        <w:rPr>
          <w:rFonts w:hint="eastAsia" w:ascii="宋体" w:hAnsi="宋体" w:cs="宋体"/>
          <w:color w:val="000000" w:themeColor="text1"/>
          <w:szCs w:val="21"/>
          <w:highlight w:val="none"/>
          <w:lang w:eastAsia="zh-CN"/>
          <w14:textFill>
            <w14:solidFill>
              <w14:schemeClr w14:val="tx1"/>
            </w14:solidFill>
          </w14:textFill>
        </w:rPr>
        <w:t>，同步在</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浙江省公款竞争性存放网上招标平台</w:t>
      </w:r>
      <w:r>
        <w:rPr>
          <w:rFonts w:hint="eastAsia" w:ascii="宋体" w:hAnsi="宋体" w:cs="宋体"/>
          <w:color w:val="000000" w:themeColor="text1"/>
          <w:szCs w:val="21"/>
          <w:highlight w:val="none"/>
          <w:lang w:eastAsia="zh-CN"/>
          <w14:textFill>
            <w14:solidFill>
              <w14:schemeClr w14:val="tx1"/>
            </w14:solidFill>
          </w14:textFill>
        </w:rPr>
        <w:t>（ https://gkcf-login.czt.zj.gov.cn）</w:t>
      </w:r>
      <w:r>
        <w:rPr>
          <w:rFonts w:hint="eastAsia" w:ascii="宋体" w:hAnsi="宋体" w:cs="宋体"/>
          <w:color w:val="000000" w:themeColor="text1"/>
          <w:szCs w:val="21"/>
          <w:highlight w:val="none"/>
          <w14:textFill>
            <w14:solidFill>
              <w14:schemeClr w14:val="tx1"/>
            </w14:solidFill>
          </w14:textFill>
        </w:rPr>
        <w:t>”在线开、评标</w:t>
      </w:r>
      <w:r>
        <w:rPr>
          <w:rFonts w:hint="eastAsia" w:ascii="宋体" w:hAnsi="宋体" w:cs="宋体"/>
          <w:color w:val="000000" w:themeColor="text1"/>
          <w:szCs w:val="21"/>
          <w:highlight w:val="none"/>
          <w:lang w:eastAsia="zh-CN"/>
          <w14:textFill>
            <w14:solidFill>
              <w14:schemeClr w14:val="tx1"/>
            </w14:solidFill>
          </w14:textFill>
        </w:rPr>
        <w:t>。</w:t>
      </w:r>
    </w:p>
    <w:p w14:paraId="14B087EC">
      <w:pPr>
        <w:spacing w:line="460" w:lineRule="exact"/>
        <w:ind w:firstLine="420" w:firstLineChars="200"/>
        <w:rPr>
          <w:rFonts w:hint="eastAsia" w:ascii="宋体" w:hAnsi="宋体" w:eastAsia="宋体" w:cs="宋体"/>
          <w:bCs/>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本项目实行网上电子</w:t>
      </w:r>
      <w:r>
        <w:rPr>
          <w:rFonts w:hint="eastAsia" w:ascii="宋体" w:hAnsi="宋体" w:cs="宋体"/>
          <w:color w:val="000000" w:themeColor="text1"/>
          <w:szCs w:val="21"/>
          <w:highlight w:val="none"/>
          <w:lang w:eastAsia="zh-CN"/>
          <w14:textFill>
            <w14:solidFill>
              <w14:schemeClr w14:val="tx1"/>
            </w14:solidFill>
          </w14:textFill>
        </w:rPr>
        <w:t>开评</w:t>
      </w:r>
      <w:r>
        <w:rPr>
          <w:rFonts w:hint="eastAsia" w:ascii="宋体" w:hAnsi="宋体" w:cs="宋体"/>
          <w:color w:val="000000" w:themeColor="text1"/>
          <w:szCs w:val="21"/>
          <w:highlight w:val="none"/>
          <w14:textFill>
            <w14:solidFill>
              <w14:schemeClr w14:val="tx1"/>
            </w14:solidFill>
          </w14:textFill>
        </w:rPr>
        <w:t>标</w:t>
      </w:r>
      <w:r>
        <w:rPr>
          <w:rFonts w:hint="eastAsia" w:ascii="宋体" w:hAnsi="宋体" w:cs="宋体"/>
          <w:color w:val="000000" w:themeColor="text1"/>
          <w:szCs w:val="21"/>
          <w:highlight w:val="none"/>
          <w:lang w:eastAsia="zh-CN"/>
          <w14:textFill>
            <w14:solidFill>
              <w14:schemeClr w14:val="tx1"/>
            </w14:solidFill>
          </w14:textFill>
        </w:rPr>
        <w:t>，投标人代表无需到达开标现场。</w:t>
      </w:r>
    </w:p>
    <w:p w14:paraId="50196AE7">
      <w:pPr>
        <w:pageBreakBefore w:val="0"/>
        <w:kinsoku/>
        <w:wordWrap w:val="0"/>
        <w:topLinePunct w:val="0"/>
        <w:bidi w:val="0"/>
        <w:snapToGrid/>
        <w:spacing w:line="360" w:lineRule="auto"/>
        <w:ind w:firstLine="420" w:firstLineChars="20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九、</w:t>
      </w:r>
      <w:r>
        <w:rPr>
          <w:rFonts w:hint="eastAsia" w:ascii="宋体" w:hAnsi="宋体" w:eastAsia="宋体" w:cs="宋体"/>
          <w:b/>
          <w:color w:val="000000" w:themeColor="text1"/>
          <w:sz w:val="21"/>
          <w:szCs w:val="21"/>
          <w:highlight w:val="none"/>
          <w14:textFill>
            <w14:solidFill>
              <w14:schemeClr w14:val="tx1"/>
            </w14:solidFill>
          </w14:textFill>
        </w:rPr>
        <w:t>联系方式</w:t>
      </w:r>
    </w:p>
    <w:p w14:paraId="2E308F05">
      <w:pPr>
        <w:pStyle w:val="13"/>
        <w:spacing w:before="0" w:beforeAutospacing="0" w:after="0" w:afterAutospacing="0" w:line="36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1.招标人信息</w:t>
      </w:r>
    </w:p>
    <w:p w14:paraId="3AB784E6">
      <w:pPr>
        <w:pStyle w:val="13"/>
        <w:spacing w:before="0" w:beforeAutospacing="0" w:after="0" w:afterAutospacing="0" w:line="360" w:lineRule="auto"/>
        <w:ind w:firstLine="420" w:firstLineChars="200"/>
        <w:rPr>
          <w:rFonts w:hint="eastAsia"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招标人：</w:t>
      </w:r>
      <w:r>
        <w:rPr>
          <w:rFonts w:hint="eastAsia" w:cs="宋体"/>
          <w:color w:val="000000" w:themeColor="text1"/>
          <w:sz w:val="21"/>
          <w:szCs w:val="21"/>
          <w:highlight w:val="none"/>
          <w:lang w:eastAsia="zh-CN"/>
          <w14:textFill>
            <w14:solidFill>
              <w14:schemeClr w14:val="tx1"/>
            </w14:solidFill>
          </w14:textFill>
        </w:rPr>
        <w:t>常山县财政局</w:t>
      </w:r>
    </w:p>
    <w:p w14:paraId="7030CBD0">
      <w:pPr>
        <w:pStyle w:val="13"/>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地址</w:t>
      </w:r>
      <w:r>
        <w:rPr>
          <w:rFonts w:hint="eastAsia" w:ascii="宋体" w:hAnsi="宋体" w:eastAsia="宋体" w:cs="宋体"/>
          <w:color w:val="000000" w:themeColor="text1"/>
          <w:sz w:val="21"/>
          <w:szCs w:val="21"/>
          <w:highlight w:val="none"/>
          <w14:textFill>
            <w14:solidFill>
              <w14:schemeClr w14:val="tx1"/>
            </w14:solidFill>
          </w14:textFill>
        </w:rPr>
        <w:t>：常山县天马街道定阳北路415号</w:t>
      </w:r>
    </w:p>
    <w:p w14:paraId="5EB3DBD8">
      <w:pPr>
        <w:pStyle w:val="13"/>
        <w:spacing w:before="0" w:beforeAutospacing="0" w:after="0" w:afterAutospacing="0" w:line="360" w:lineRule="auto"/>
        <w:ind w:firstLine="420" w:firstLineChars="200"/>
        <w:rPr>
          <w:rFonts w:hint="eastAsia"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项目联系人：</w:t>
      </w:r>
      <w:r>
        <w:rPr>
          <w:rFonts w:hint="eastAsia" w:cs="宋体"/>
          <w:color w:val="000000" w:themeColor="text1"/>
          <w:sz w:val="21"/>
          <w:szCs w:val="21"/>
          <w:highlight w:val="none"/>
          <w:lang w:eastAsia="zh-CN"/>
          <w14:textFill>
            <w14:solidFill>
              <w14:schemeClr w14:val="tx1"/>
            </w14:solidFill>
          </w14:textFill>
        </w:rPr>
        <w:t>张杨杨</w:t>
      </w:r>
      <w:r>
        <w:rPr>
          <w:rFonts w:hint="eastAsia" w:cs="宋体"/>
          <w:color w:val="000000" w:themeColor="text1"/>
          <w:sz w:val="21"/>
          <w:szCs w:val="21"/>
          <w:highlight w:val="none"/>
          <w14:textFill>
            <w14:solidFill>
              <w14:schemeClr w14:val="tx1"/>
            </w14:solidFill>
          </w14:textFill>
        </w:rPr>
        <w:t xml:space="preserve"> </w:t>
      </w:r>
    </w:p>
    <w:p w14:paraId="36553C25">
      <w:pPr>
        <w:pStyle w:val="13"/>
        <w:spacing w:before="0" w:beforeAutospacing="0" w:after="0" w:afterAutospacing="0" w:line="360" w:lineRule="auto"/>
        <w:ind w:firstLine="420" w:firstLineChars="200"/>
        <w:rPr>
          <w:rFonts w:hint="default" w:eastAsia="宋体" w:cs="宋体"/>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14:textFill>
            <w14:solidFill>
              <w14:schemeClr w14:val="tx1"/>
            </w14:solidFill>
          </w14:textFill>
        </w:rPr>
        <w:t>联系电话：</w:t>
      </w:r>
      <w:r>
        <w:rPr>
          <w:rFonts w:hint="eastAsia" w:cs="宋体"/>
          <w:color w:val="000000" w:themeColor="text1"/>
          <w:sz w:val="21"/>
          <w:szCs w:val="21"/>
          <w:highlight w:val="none"/>
          <w:lang w:val="en-US" w:eastAsia="zh-CN"/>
          <w14:textFill>
            <w14:solidFill>
              <w14:schemeClr w14:val="tx1"/>
            </w14:solidFill>
          </w14:textFill>
        </w:rPr>
        <w:t>0570-5019337</w:t>
      </w:r>
    </w:p>
    <w:p w14:paraId="7A7996DD">
      <w:pPr>
        <w:pStyle w:val="13"/>
        <w:pageBreakBefore w:val="0"/>
        <w:kinsoku/>
        <w:topLinePunct w:val="0"/>
        <w:bidi w:val="0"/>
        <w:snapToGrid/>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val="en-US" w:eastAsia="zh-CN"/>
          <w14:textFill>
            <w14:solidFill>
              <w14:schemeClr w14:val="tx1"/>
            </w14:solidFill>
          </w14:textFill>
        </w:rPr>
        <w:t>2.</w:t>
      </w:r>
      <w:r>
        <w:rPr>
          <w:rFonts w:hint="eastAsia"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代理机构信息</w:t>
      </w:r>
    </w:p>
    <w:p w14:paraId="2B77100A">
      <w:pPr>
        <w:pStyle w:val="13"/>
        <w:pageBreakBefore w:val="0"/>
        <w:kinsoku/>
        <w:topLinePunct w:val="0"/>
        <w:bidi w:val="0"/>
        <w:snapToGrid/>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招标代理机构：泰宇建筑工程技术咨询有限公司</w:t>
      </w:r>
    </w:p>
    <w:p w14:paraId="1F636C01">
      <w:pPr>
        <w:pStyle w:val="13"/>
        <w:pageBreakBefore w:val="0"/>
        <w:kinsoku/>
        <w:topLinePunct w:val="0"/>
        <w:bidi w:val="0"/>
        <w:snapToGrid/>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地址：浙江省常山县定阳南路813号8楼</w:t>
      </w:r>
    </w:p>
    <w:p w14:paraId="38F800C3">
      <w:pPr>
        <w:pStyle w:val="13"/>
        <w:pageBreakBefore w:val="0"/>
        <w:kinsoku/>
        <w:topLinePunct w:val="0"/>
        <w:bidi w:val="0"/>
        <w:snapToGrid/>
        <w:spacing w:before="0" w:beforeAutospacing="0" w:after="0" w:afterAutospacing="0" w:line="360" w:lineRule="auto"/>
        <w:ind w:firstLine="420" w:firstLineChars="200"/>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项目联系人：徐慧菲</w:t>
      </w:r>
    </w:p>
    <w:p w14:paraId="745E9D32">
      <w:pPr>
        <w:pStyle w:val="13"/>
        <w:pageBreakBefore w:val="0"/>
        <w:kinsoku/>
        <w:topLinePunct w:val="0"/>
        <w:bidi w:val="0"/>
        <w:snapToGrid/>
        <w:spacing w:before="0" w:beforeAutospacing="0" w:after="0" w:afterAutospacing="0" w:line="360" w:lineRule="auto"/>
        <w:ind w:firstLine="420" w:firstLineChars="200"/>
        <w:rPr>
          <w:rFonts w:hint="eastAsia"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联系电话：15215710219</w:t>
      </w:r>
    </w:p>
    <w:p w14:paraId="37F787AD">
      <w:pPr>
        <w:pStyle w:val="1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jc w:val="right"/>
        <w:textAlignment w:val="auto"/>
        <w:rPr>
          <w:rFonts w:hint="eastAsia" w:cs="宋体"/>
          <w:color w:val="000000" w:themeColor="text1"/>
          <w:sz w:val="21"/>
          <w:szCs w:val="21"/>
          <w:highlight w:val="none"/>
          <w:lang w:eastAsia="zh-CN"/>
          <w14:textFill>
            <w14:solidFill>
              <w14:schemeClr w14:val="tx1"/>
            </w14:solidFill>
          </w14:textFill>
        </w:rPr>
      </w:pPr>
      <w:r>
        <w:rPr>
          <w:rFonts w:hint="eastAsia" w:eastAsia="宋体" w:cs="宋体"/>
          <w:color w:val="000000" w:themeColor="text1"/>
          <w:sz w:val="21"/>
          <w:szCs w:val="21"/>
          <w:highlight w:val="none"/>
          <w:lang w:eastAsia="zh-CN"/>
          <w14:textFill>
            <w14:solidFill>
              <w14:schemeClr w14:val="tx1"/>
            </w14:solidFill>
          </w14:textFill>
        </w:rPr>
        <w:t>常山县</w:t>
      </w:r>
      <w:r>
        <w:rPr>
          <w:rFonts w:hint="eastAsia" w:cs="宋体"/>
          <w:color w:val="000000" w:themeColor="text1"/>
          <w:sz w:val="21"/>
          <w:szCs w:val="21"/>
          <w:highlight w:val="none"/>
          <w:lang w:eastAsia="zh-CN"/>
          <w14:textFill>
            <w14:solidFill>
              <w14:schemeClr w14:val="tx1"/>
            </w14:solidFill>
          </w14:textFill>
        </w:rPr>
        <w:t>财政局</w:t>
      </w:r>
    </w:p>
    <w:p w14:paraId="0F7201B4">
      <w:pPr>
        <w:pStyle w:val="12"/>
        <w:keepNext w:val="0"/>
        <w:keepLines w:val="0"/>
        <w:pageBreakBefore w:val="0"/>
        <w:kinsoku/>
        <w:wordWrap/>
        <w:overflowPunct/>
        <w:topLinePunct w:val="0"/>
        <w:autoSpaceDE/>
        <w:autoSpaceDN/>
        <w:bidi w:val="0"/>
        <w:adjustRightInd/>
        <w:snapToGrid/>
        <w:spacing w:line="400" w:lineRule="exact"/>
        <w:textAlignment w:val="auto"/>
        <w:rPr>
          <w:rFonts w:hint="eastAsia"/>
          <w:color w:val="000000" w:themeColor="text1"/>
          <w:highlight w:val="none"/>
          <w:lang w:eastAsia="zh-CN"/>
          <w14:textFill>
            <w14:solidFill>
              <w14:schemeClr w14:val="tx1"/>
            </w14:solidFill>
          </w14:textFill>
        </w:rPr>
      </w:pPr>
    </w:p>
    <w:p w14:paraId="42CB89B9">
      <w:pPr>
        <w:pStyle w:val="1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jc w:val="right"/>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泰宇建筑工程技术咨询有限公司</w:t>
      </w:r>
    </w:p>
    <w:p w14:paraId="5BD204CD">
      <w:pPr>
        <w:pStyle w:val="13"/>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420" w:firstLineChars="200"/>
        <w:jc w:val="right"/>
        <w:textAlignment w:val="auto"/>
        <w:rPr>
          <w:rFonts w:hint="eastAsia" w:eastAsia="宋体" w:cs="宋体"/>
          <w:color w:val="000000" w:themeColor="text1"/>
          <w:sz w:val="21"/>
          <w:szCs w:val="21"/>
          <w:highlight w:val="none"/>
          <w:lang w:eastAsia="zh-CN"/>
          <w14:textFill>
            <w14:solidFill>
              <w14:schemeClr w14:val="tx1"/>
            </w14:solidFill>
          </w14:textFill>
        </w:rPr>
      </w:pPr>
      <w:r>
        <w:rPr>
          <w:rFonts w:hint="eastAsia" w:eastAsia="宋体" w:cs="宋体"/>
          <w:color w:val="000000" w:themeColor="text1"/>
          <w:sz w:val="21"/>
          <w:szCs w:val="21"/>
          <w:highlight w:val="none"/>
          <w:lang w:eastAsia="zh-CN"/>
          <w14:textFill>
            <w14:solidFill>
              <w14:schemeClr w14:val="tx1"/>
            </w14:solidFill>
          </w14:textFill>
        </w:rPr>
        <w:t>202</w:t>
      </w:r>
      <w:r>
        <w:rPr>
          <w:rFonts w:hint="eastAsia" w:cs="宋体"/>
          <w:color w:val="000000" w:themeColor="text1"/>
          <w:sz w:val="21"/>
          <w:szCs w:val="21"/>
          <w:highlight w:val="none"/>
          <w:lang w:val="en-US" w:eastAsia="zh-CN"/>
          <w14:textFill>
            <w14:solidFill>
              <w14:schemeClr w14:val="tx1"/>
            </w14:solidFill>
          </w14:textFill>
        </w:rPr>
        <w:t>5</w:t>
      </w:r>
      <w:r>
        <w:rPr>
          <w:rFonts w:hint="eastAsia" w:eastAsia="宋体" w:cs="宋体"/>
          <w:color w:val="000000" w:themeColor="text1"/>
          <w:sz w:val="21"/>
          <w:szCs w:val="21"/>
          <w:highlight w:val="none"/>
          <w:lang w:eastAsia="zh-CN"/>
          <w14:textFill>
            <w14:solidFill>
              <w14:schemeClr w14:val="tx1"/>
            </w14:solidFill>
          </w14:textFill>
        </w:rPr>
        <w:t>年</w:t>
      </w:r>
      <w:r>
        <w:rPr>
          <w:rFonts w:hint="eastAsia" w:cs="宋体"/>
          <w:color w:val="000000" w:themeColor="text1"/>
          <w:sz w:val="21"/>
          <w:szCs w:val="21"/>
          <w:highlight w:val="none"/>
          <w:lang w:val="en-US" w:eastAsia="zh-CN"/>
          <w14:textFill>
            <w14:solidFill>
              <w14:schemeClr w14:val="tx1"/>
            </w14:solidFill>
          </w14:textFill>
        </w:rPr>
        <w:t>12</w:t>
      </w:r>
      <w:r>
        <w:rPr>
          <w:rFonts w:hint="eastAsia" w:eastAsia="宋体" w:cs="宋体"/>
          <w:color w:val="000000" w:themeColor="text1"/>
          <w:sz w:val="21"/>
          <w:szCs w:val="21"/>
          <w:highlight w:val="none"/>
          <w:lang w:eastAsia="zh-CN"/>
          <w14:textFill>
            <w14:solidFill>
              <w14:schemeClr w14:val="tx1"/>
            </w14:solidFill>
          </w14:textFill>
        </w:rPr>
        <w:t>月</w:t>
      </w:r>
    </w:p>
    <w:p w14:paraId="0AABE973">
      <w:pPr>
        <w:pStyle w:val="13"/>
        <w:pageBreakBefore w:val="0"/>
        <w:kinsoku/>
        <w:topLinePunct w:val="0"/>
        <w:bidi w:val="0"/>
        <w:snapToGrid/>
        <w:spacing w:before="0" w:beforeAutospacing="0" w:after="0" w:afterAutospacing="0" w:line="360" w:lineRule="auto"/>
        <w:ind w:firstLine="420" w:firstLineChars="200"/>
        <w:jc w:val="center"/>
        <w:rPr>
          <w:rStyle w:val="23"/>
          <w:rFonts w:hint="eastAsia"/>
          <w:color w:val="000000" w:themeColor="text1"/>
          <w:sz w:val="32"/>
          <w:szCs w:val="32"/>
          <w:highlight w:val="none"/>
          <w:lang w:val="zh-CN" w:eastAsia="zh-CN"/>
          <w14:textFill>
            <w14:solidFill>
              <w14:schemeClr w14:val="tx1"/>
            </w14:solidFill>
          </w14:textFill>
        </w:rPr>
      </w:pPr>
      <w:r>
        <w:rPr>
          <w:rFonts w:hint="eastAsia" w:eastAsia="宋体" w:cs="宋体"/>
          <w:color w:val="000000" w:themeColor="text1"/>
          <w:sz w:val="21"/>
          <w:szCs w:val="21"/>
          <w:highlight w:val="none"/>
          <w:lang w:eastAsia="zh-CN"/>
          <w14:textFill>
            <w14:solidFill>
              <w14:schemeClr w14:val="tx1"/>
            </w14:solidFill>
          </w14:textFill>
        </w:rPr>
        <w:br w:type="column"/>
      </w:r>
      <w:bookmarkStart w:id="17" w:name="_Toc25307"/>
      <w:bookmarkStart w:id="18" w:name="_Toc32701"/>
      <w:bookmarkStart w:id="19" w:name="_Toc9063"/>
      <w:bookmarkStart w:id="20" w:name="_Toc176_WPSOffice_Level1"/>
      <w:bookmarkStart w:id="21" w:name="_Toc18411"/>
      <w:bookmarkStart w:id="22" w:name="_Toc23745"/>
      <w:bookmarkStart w:id="23" w:name="_Toc28180"/>
      <w:bookmarkStart w:id="24" w:name="_Toc3844"/>
      <w:r>
        <w:rPr>
          <w:rStyle w:val="23"/>
          <w:rFonts w:hint="eastAsia"/>
          <w:color w:val="000000" w:themeColor="text1"/>
          <w:sz w:val="32"/>
          <w:szCs w:val="32"/>
          <w:highlight w:val="none"/>
          <w:lang w:val="zh-CN" w:eastAsia="zh-CN"/>
          <w14:textFill>
            <w14:solidFill>
              <w14:schemeClr w14:val="tx1"/>
            </w14:solidFill>
          </w14:textFill>
        </w:rPr>
        <w:t>第二章  投标人须知</w:t>
      </w:r>
      <w:bookmarkEnd w:id="17"/>
      <w:bookmarkEnd w:id="18"/>
      <w:bookmarkEnd w:id="19"/>
      <w:bookmarkEnd w:id="20"/>
      <w:bookmarkEnd w:id="21"/>
      <w:bookmarkEnd w:id="22"/>
      <w:bookmarkEnd w:id="23"/>
    </w:p>
    <w:bookmarkEnd w:id="24"/>
    <w:p w14:paraId="394B92F6">
      <w:pPr>
        <w:pStyle w:val="3"/>
        <w:pageBreakBefore w:val="0"/>
        <w:kinsoku/>
        <w:topLinePunct w:val="0"/>
        <w:bidi w:val="0"/>
        <w:snapToGrid/>
        <w:spacing w:before="0" w:after="0" w:line="360" w:lineRule="auto"/>
        <w:jc w:val="left"/>
        <w:rPr>
          <w:rFonts w:hint="eastAsia" w:ascii="宋体" w:hAnsi="宋体" w:eastAsia="宋体" w:cs="宋体"/>
          <w:bCs w:val="0"/>
          <w:color w:val="000000" w:themeColor="text1"/>
          <w:sz w:val="21"/>
          <w:szCs w:val="21"/>
          <w:highlight w:val="none"/>
          <w:lang w:val="zh-CN"/>
          <w14:textFill>
            <w14:solidFill>
              <w14:schemeClr w14:val="tx1"/>
            </w14:solidFill>
          </w14:textFill>
        </w:rPr>
      </w:pPr>
      <w:bookmarkStart w:id="25" w:name="_Toc4043"/>
      <w:bookmarkStart w:id="26" w:name="_Toc10984"/>
      <w:bookmarkStart w:id="27" w:name="_Toc2518"/>
      <w:bookmarkStart w:id="28" w:name="_Toc19381"/>
      <w:bookmarkStart w:id="29" w:name="_Toc15776"/>
      <w:bookmarkStart w:id="30" w:name="_Toc10785"/>
      <w:bookmarkStart w:id="31" w:name="_Toc1562"/>
      <w:r>
        <w:rPr>
          <w:rFonts w:hint="eastAsia" w:ascii="宋体" w:hAnsi="宋体" w:eastAsia="宋体" w:cs="宋体"/>
          <w:bCs w:val="0"/>
          <w:color w:val="000000" w:themeColor="text1"/>
          <w:sz w:val="21"/>
          <w:szCs w:val="21"/>
          <w:highlight w:val="none"/>
          <w:lang w:val="zh-CN"/>
          <w14:textFill>
            <w14:solidFill>
              <w14:schemeClr w14:val="tx1"/>
            </w14:solidFill>
          </w14:textFill>
        </w:rPr>
        <w:t>一、综合说明</w:t>
      </w:r>
      <w:bookmarkEnd w:id="25"/>
      <w:bookmarkEnd w:id="26"/>
      <w:bookmarkEnd w:id="27"/>
      <w:bookmarkEnd w:id="28"/>
      <w:bookmarkEnd w:id="29"/>
      <w:bookmarkEnd w:id="30"/>
      <w:bookmarkEnd w:id="31"/>
    </w:p>
    <w:p w14:paraId="46073973">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（一）适用范围</w:t>
      </w:r>
    </w:p>
    <w:p w14:paraId="39160FFE">
      <w:pPr>
        <w:pageBreakBefore w:val="0"/>
        <w:kinsoku/>
        <w:topLinePunct w:val="0"/>
        <w:bidi w:val="0"/>
        <w:snapToGrid/>
        <w:spacing w:line="360" w:lineRule="auto"/>
        <w:ind w:firstLine="42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zh-CN"/>
          <w14:textFill>
            <w14:solidFill>
              <w14:schemeClr w14:val="tx1"/>
            </w14:solidFill>
          </w14:textFill>
        </w:rPr>
        <w:t>本招标文件仅适用于</w:t>
      </w:r>
      <w:r>
        <w:rPr>
          <w:rFonts w:hint="eastAsia" w:ascii="宋体" w:hAnsi="宋体" w:eastAsia="宋体" w:cs="宋体"/>
          <w:color w:val="000000" w:themeColor="text1"/>
          <w:sz w:val="21"/>
          <w:szCs w:val="21"/>
          <w:highlight w:val="none"/>
          <w14:textFill>
            <w14:solidFill>
              <w14:schemeClr w14:val="tx1"/>
            </w14:solidFill>
          </w14:textFill>
        </w:rPr>
        <w:t>本项目</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、投标、评标、定标、验收、合同履约、付款等行为（法律、法规另有规定的，从其规定）。</w:t>
      </w:r>
    </w:p>
    <w:p w14:paraId="3A58D11A">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（二）定义</w:t>
      </w:r>
    </w:p>
    <w:p w14:paraId="15EC6C65">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单位）”是指依法进行</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lang w:eastAsia="zh-CN"/>
          <w14:textFill>
            <w14:solidFill>
              <w14:schemeClr w14:val="tx1"/>
            </w14:solidFill>
          </w14:textFill>
        </w:rPr>
        <w:t>常山县财政局</w:t>
      </w:r>
      <w:r>
        <w:rPr>
          <w:rFonts w:hint="eastAsia" w:ascii="宋体" w:hAnsi="宋体" w:eastAsia="宋体" w:cs="宋体"/>
          <w:color w:val="000000" w:themeColor="text1"/>
          <w:sz w:val="21"/>
          <w:szCs w:val="21"/>
          <w:highlight w:val="none"/>
          <w14:textFill>
            <w14:solidFill>
              <w14:schemeClr w14:val="tx1"/>
            </w14:solidFill>
          </w14:textFill>
        </w:rPr>
        <w:t>”；</w:t>
      </w:r>
    </w:p>
    <w:p w14:paraId="67ECBA98">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代理机构”是指受</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委托，在委托协议约定范围内依法组织本次</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cs="宋体"/>
          <w:color w:val="000000" w:themeColor="text1"/>
          <w:sz w:val="21"/>
          <w:szCs w:val="21"/>
          <w:highlight w:val="none"/>
          <w:lang w:val="en-US" w:eastAsia="zh-CN"/>
          <w14:textFill>
            <w14:solidFill>
              <w14:schemeClr w14:val="tx1"/>
            </w14:solidFill>
          </w14:textFill>
        </w:rPr>
        <w:t>泰宇建筑工程技术咨询有限公司</w:t>
      </w:r>
      <w:r>
        <w:rPr>
          <w:rFonts w:hint="eastAsia" w:ascii="宋体" w:hAnsi="宋体" w:eastAsia="宋体" w:cs="宋体"/>
          <w:color w:val="000000" w:themeColor="text1"/>
          <w:sz w:val="21"/>
          <w:szCs w:val="21"/>
          <w:highlight w:val="none"/>
          <w14:textFill>
            <w14:solidFill>
              <w14:schemeClr w14:val="tx1"/>
            </w14:solidFill>
          </w14:textFill>
        </w:rPr>
        <w:t>”；</w:t>
      </w:r>
    </w:p>
    <w:p w14:paraId="79374E6A">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3.“投标人”是指向本项目提交投标文件的法人、其他组织或自然人；</w:t>
      </w:r>
    </w:p>
    <w:p w14:paraId="641487DA">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4.“中标单位”是指经评审后获得中标和签订合同资格的投标人；</w:t>
      </w:r>
    </w:p>
    <w:p w14:paraId="5E23E1E9">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.“服务”是指</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内容本身及相关的售后服务、培训或伴随服务；</w:t>
      </w:r>
    </w:p>
    <w:p w14:paraId="318F2B98">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.“书面形式”包括纸质文件、电子邮件、信函、传真等。</w:t>
      </w:r>
    </w:p>
    <w:p w14:paraId="7E6ED11A">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.实质性响应：是指投标文件相关内容满足或优于</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规定的实质性内容、条款和规定。</w:t>
      </w:r>
    </w:p>
    <w:p w14:paraId="5EE25D9A">
      <w:pPr>
        <w:pageBreakBefore w:val="0"/>
        <w:kinsoku/>
        <w:topLinePunct w:val="0"/>
        <w:bidi w:val="0"/>
        <w:snapToGrid/>
        <w:spacing w:line="360" w:lineRule="auto"/>
        <w:ind w:firstLine="420" w:firstLineChars="200"/>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8</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
          <w:bCs/>
          <w:color w:val="000000" w:themeColor="text1"/>
          <w:sz w:val="21"/>
          <w:szCs w:val="21"/>
          <w:highlight w:val="none"/>
          <w14:textFill>
            <w14:solidFill>
              <w14:schemeClr w14:val="tx1"/>
            </w14:solidFill>
          </w14:textFill>
        </w:rPr>
        <w:t>中带“▲”内容为必须满足的实质性内容。</w:t>
      </w:r>
    </w:p>
    <w:p w14:paraId="34625DB8">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（三）招标方式</w:t>
      </w:r>
    </w:p>
    <w:p w14:paraId="0BB11E24">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公开招标。</w:t>
      </w:r>
    </w:p>
    <w:p w14:paraId="16F1CE25">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（四）投标委托</w:t>
      </w:r>
    </w:p>
    <w:p w14:paraId="18164776">
      <w:pPr>
        <w:pageBreakBefore w:val="0"/>
        <w:kinsoku/>
        <w:topLinePunct w:val="0"/>
        <w:bidi w:val="0"/>
        <w:snapToGrid/>
        <w:spacing w:line="30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如</w:t>
      </w:r>
      <w:r>
        <w:rPr>
          <w:rFonts w:hint="eastAsia"/>
          <w:color w:val="000000" w:themeColor="text1"/>
          <w:szCs w:val="21"/>
          <w:highlight w:val="none"/>
          <w:lang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代表是法定代表人</w:t>
      </w:r>
      <w:r>
        <w:rPr>
          <w:rFonts w:hint="eastAsia"/>
          <w:color w:val="000000" w:themeColor="text1"/>
          <w:szCs w:val="21"/>
          <w:highlight w:val="none"/>
          <w:lang w:eastAsia="zh-CN"/>
          <w14:textFill>
            <w14:solidFill>
              <w14:schemeClr w14:val="tx1"/>
            </w14:solidFill>
          </w14:textFill>
        </w:rPr>
        <w:t>（单位负责人）</w:t>
      </w:r>
      <w:r>
        <w:rPr>
          <w:rFonts w:hint="eastAsia"/>
          <w:color w:val="000000" w:themeColor="text1"/>
          <w:szCs w:val="21"/>
          <w:highlight w:val="none"/>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报名文件</w:t>
      </w:r>
      <w:r>
        <w:rPr>
          <w:rFonts w:hint="eastAsia"/>
          <w:color w:val="000000" w:themeColor="text1"/>
          <w:szCs w:val="21"/>
          <w:highlight w:val="none"/>
          <w14:textFill>
            <w14:solidFill>
              <w14:schemeClr w14:val="tx1"/>
            </w14:solidFill>
          </w14:textFill>
        </w:rPr>
        <w:t>”中须提供</w:t>
      </w:r>
      <w:r>
        <w:rPr>
          <w:rFonts w:hint="eastAsia"/>
          <w:color w:val="000000" w:themeColor="text1"/>
          <w:szCs w:val="21"/>
          <w:highlight w:val="none"/>
          <w:lang w:eastAsia="zh-CN"/>
          <w14:textFill>
            <w14:solidFill>
              <w14:schemeClr w14:val="tx1"/>
            </w14:solidFill>
          </w14:textFill>
        </w:rPr>
        <w:t>法定代表人（单位负责人）身份证明</w:t>
      </w:r>
      <w:r>
        <w:rPr>
          <w:rFonts w:hint="eastAsia"/>
          <w:color w:val="000000" w:themeColor="text1"/>
          <w:szCs w:val="21"/>
          <w:highlight w:val="none"/>
          <w14:textFill>
            <w14:solidFill>
              <w14:schemeClr w14:val="tx1"/>
            </w14:solidFill>
          </w14:textFill>
        </w:rPr>
        <w:t>【格式见</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"附件1" </w:instrText>
      </w:r>
      <w:r>
        <w:rPr>
          <w:color w:val="000000" w:themeColor="text1"/>
          <w:highlight w:val="none"/>
          <w14:textFill>
            <w14:solidFill>
              <w14:schemeClr w14:val="tx1"/>
            </w14:solidFill>
          </w14:textFill>
        </w:rPr>
        <w:fldChar w:fldCharType="separate"/>
      </w:r>
      <w:r>
        <w:rPr>
          <w:rStyle w:val="18"/>
          <w:rFonts w:hint="eastAsia" w:cs="宋体"/>
          <w:color w:val="000000" w:themeColor="text1"/>
          <w:szCs w:val="21"/>
          <w:highlight w:val="none"/>
          <w14:textFill>
            <w14:solidFill>
              <w14:schemeClr w14:val="tx1"/>
            </w14:solidFill>
          </w14:textFill>
        </w:rPr>
        <w:t>附件</w:t>
      </w:r>
      <w:r>
        <w:rPr>
          <w:rStyle w:val="18"/>
          <w:rFonts w:hint="eastAsia" w:cs="宋体"/>
          <w:color w:val="000000" w:themeColor="text1"/>
          <w:szCs w:val="21"/>
          <w:highlight w:val="none"/>
          <w:lang w:val="en-US" w:eastAsia="zh-CN"/>
          <w14:textFill>
            <w14:solidFill>
              <w14:schemeClr w14:val="tx1"/>
            </w14:solidFill>
          </w14:textFill>
        </w:rPr>
        <w:t>2</w:t>
      </w:r>
      <w:r>
        <w:rPr>
          <w:rFonts w:cs="宋体"/>
          <w:color w:val="000000" w:themeColor="text1"/>
          <w:szCs w:val="21"/>
          <w:highlight w:val="none"/>
          <w14:textFill>
            <w14:solidFill>
              <w14:schemeClr w14:val="tx1"/>
            </w14:solidFill>
          </w14:textFill>
        </w:rPr>
        <w:fldChar w:fldCharType="end"/>
      </w: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】及法定代表人</w:t>
      </w:r>
      <w:r>
        <w:rPr>
          <w:rFonts w:hint="eastAsia"/>
          <w:color w:val="000000" w:themeColor="text1"/>
          <w:szCs w:val="21"/>
          <w:highlight w:val="none"/>
          <w:lang w:eastAsia="zh-CN"/>
          <w14:textFill>
            <w14:solidFill>
              <w14:schemeClr w14:val="tx1"/>
            </w14:solidFill>
          </w14:textFill>
        </w:rPr>
        <w:t>（单位负责人）</w:t>
      </w:r>
      <w:r>
        <w:rPr>
          <w:rFonts w:hint="eastAsia"/>
          <w:color w:val="000000" w:themeColor="text1"/>
          <w:szCs w:val="21"/>
          <w:highlight w:val="none"/>
          <w14:textFill>
            <w14:solidFill>
              <w14:schemeClr w14:val="tx1"/>
            </w14:solidFill>
          </w14:textFill>
        </w:rPr>
        <w:t>的身份证复印件，如</w:t>
      </w:r>
      <w:r>
        <w:rPr>
          <w:rFonts w:hint="eastAsia"/>
          <w:color w:val="000000" w:themeColor="text1"/>
          <w:szCs w:val="21"/>
          <w:highlight w:val="none"/>
          <w:lang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代表不是</w:t>
      </w:r>
      <w:r>
        <w:rPr>
          <w:rFonts w:hint="eastAsia"/>
          <w:color w:val="000000" w:themeColor="text1"/>
          <w:szCs w:val="21"/>
          <w:highlight w:val="none"/>
          <w:lang w:eastAsia="zh-CN"/>
          <w14:textFill>
            <w14:solidFill>
              <w14:schemeClr w14:val="tx1"/>
            </w14:solidFill>
          </w14:textFill>
        </w:rPr>
        <w:t>法定代表人（单位负责人）</w:t>
      </w:r>
      <w:r>
        <w:rPr>
          <w:rFonts w:hint="eastAsia"/>
          <w:color w:val="000000" w:themeColor="text1"/>
          <w:szCs w:val="21"/>
          <w:highlight w:val="none"/>
          <w14:textFill>
            <w14:solidFill>
              <w14:schemeClr w14:val="tx1"/>
            </w14:solidFill>
          </w14:textFill>
        </w:rPr>
        <w:t>的，“</w:t>
      </w:r>
      <w:r>
        <w:rPr>
          <w:rFonts w:hint="eastAsia"/>
          <w:color w:val="000000" w:themeColor="text1"/>
          <w:szCs w:val="21"/>
          <w:highlight w:val="none"/>
          <w:lang w:eastAsia="zh-CN"/>
          <w14:textFill>
            <w14:solidFill>
              <w14:schemeClr w14:val="tx1"/>
            </w14:solidFill>
          </w14:textFill>
        </w:rPr>
        <w:t>报名文件</w:t>
      </w:r>
      <w:r>
        <w:rPr>
          <w:rFonts w:hint="eastAsia"/>
          <w:color w:val="000000" w:themeColor="text1"/>
          <w:szCs w:val="21"/>
          <w:highlight w:val="none"/>
          <w14:textFill>
            <w14:solidFill>
              <w14:schemeClr w14:val="tx1"/>
            </w14:solidFill>
          </w14:textFill>
        </w:rPr>
        <w:t>”须提供</w:t>
      </w:r>
      <w:r>
        <w:rPr>
          <w:rFonts w:hint="eastAsia"/>
          <w:color w:val="000000" w:themeColor="text1"/>
          <w:szCs w:val="21"/>
          <w:highlight w:val="none"/>
          <w:lang w:eastAsia="zh-CN"/>
          <w14:textFill>
            <w14:solidFill>
              <w14:schemeClr w14:val="tx1"/>
            </w14:solidFill>
          </w14:textFill>
        </w:rPr>
        <w:t>法定代表人（单位负责人）</w:t>
      </w:r>
      <w:r>
        <w:rPr>
          <w:rFonts w:hint="eastAsia"/>
          <w:color w:val="000000" w:themeColor="text1"/>
          <w:szCs w:val="21"/>
          <w:highlight w:val="none"/>
          <w14:textFill>
            <w14:solidFill>
              <w14:schemeClr w14:val="tx1"/>
            </w14:solidFill>
          </w14:textFill>
        </w:rPr>
        <w:t>出具的授权委托书【格式见</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"法定代表人授权委托书" </w:instrText>
      </w:r>
      <w:r>
        <w:rPr>
          <w:color w:val="000000" w:themeColor="text1"/>
          <w:highlight w:val="none"/>
          <w14:textFill>
            <w14:solidFill>
              <w14:schemeClr w14:val="tx1"/>
            </w14:solidFill>
          </w14:textFill>
        </w:rPr>
        <w:fldChar w:fldCharType="separate"/>
      </w:r>
      <w:r>
        <w:rPr>
          <w:rStyle w:val="19"/>
          <w:rFonts w:hint="eastAsia" w:cs="宋体"/>
          <w:color w:val="000000" w:themeColor="text1"/>
          <w:szCs w:val="21"/>
          <w:highlight w:val="none"/>
          <w14:textFill>
            <w14:solidFill>
              <w14:schemeClr w14:val="tx1"/>
            </w14:solidFill>
          </w14:textFill>
        </w:rPr>
        <w:t>附件</w:t>
      </w:r>
      <w:r>
        <w:rPr>
          <w:rStyle w:val="19"/>
          <w:rFonts w:hint="eastAsia" w:cs="宋体"/>
          <w:color w:val="000000" w:themeColor="text1"/>
          <w:szCs w:val="21"/>
          <w:highlight w:val="none"/>
          <w:lang w:val="en-US" w:eastAsia="zh-CN"/>
          <w14:textFill>
            <w14:solidFill>
              <w14:schemeClr w14:val="tx1"/>
            </w14:solidFill>
          </w14:textFill>
        </w:rPr>
        <w:t>2</w:t>
      </w:r>
      <w:r>
        <w:rPr>
          <w:rStyle w:val="19"/>
          <w:rFonts w:cs="宋体"/>
          <w:color w:val="000000" w:themeColor="text1"/>
          <w:szCs w:val="21"/>
          <w:highlight w:val="none"/>
          <w14:textFill>
            <w14:solidFill>
              <w14:schemeClr w14:val="tx1"/>
            </w14:solidFill>
          </w14:textFill>
        </w:rPr>
        <w:t>-2</w:t>
      </w:r>
      <w:r>
        <w:rPr>
          <w:rFonts w:cs="宋体"/>
          <w:color w:val="000000" w:themeColor="text1"/>
          <w:szCs w:val="21"/>
          <w:highlight w:val="none"/>
          <w14:textFill>
            <w14:solidFill>
              <w14:schemeClr w14:val="tx1"/>
            </w14:solidFill>
          </w14:textFill>
        </w:rPr>
        <w:fldChar w:fldCharType="end"/>
      </w:r>
      <w:r>
        <w:rPr>
          <w:rFonts w:hint="eastAsia"/>
          <w:color w:val="000000" w:themeColor="text1"/>
          <w:szCs w:val="21"/>
          <w:highlight w:val="none"/>
          <w14:textFill>
            <w14:solidFill>
              <w14:schemeClr w14:val="tx1"/>
            </w14:solidFill>
          </w14:textFill>
        </w:rPr>
        <w:t>】及</w:t>
      </w:r>
      <w:r>
        <w:rPr>
          <w:rFonts w:hint="eastAsia"/>
          <w:color w:val="000000" w:themeColor="text1"/>
          <w:szCs w:val="21"/>
          <w:highlight w:val="none"/>
          <w:lang w:eastAsia="zh-CN"/>
          <w14:textFill>
            <w14:solidFill>
              <w14:schemeClr w14:val="tx1"/>
            </w14:solidFill>
          </w14:textFill>
        </w:rPr>
        <w:t>法定代表人（单位负责人）</w:t>
      </w:r>
      <w:r>
        <w:rPr>
          <w:rFonts w:hint="eastAsia"/>
          <w:color w:val="000000" w:themeColor="text1"/>
          <w:szCs w:val="21"/>
          <w:highlight w:val="none"/>
          <w14:textFill>
            <w14:solidFill>
              <w14:schemeClr w14:val="tx1"/>
            </w14:solidFill>
          </w14:textFill>
        </w:rPr>
        <w:t>和代理人的身份证复印件。</w:t>
      </w:r>
    </w:p>
    <w:p w14:paraId="7D926F28">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（五）投标费用：</w:t>
      </w:r>
      <w:r>
        <w:rPr>
          <w:rFonts w:hint="eastAsia" w:ascii="宋体" w:hAnsi="宋体" w:eastAsia="宋体" w:cs="宋体"/>
          <w:color w:val="000000" w:themeColor="text1"/>
          <w:sz w:val="21"/>
          <w:szCs w:val="21"/>
          <w:highlight w:val="none"/>
          <w14:textFill>
            <w14:solidFill>
              <w14:schemeClr w14:val="tx1"/>
            </w14:solidFill>
          </w14:textFill>
        </w:rPr>
        <w:t>不论投标结果如何，投标人均应自行承担所有与投标有关的全部费用。</w:t>
      </w:r>
    </w:p>
    <w:p w14:paraId="2D6BAAE8">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（六）联合体投标：</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14:paraId="556BB59A">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（七）转包与分包</w:t>
      </w:r>
    </w:p>
    <w:p w14:paraId="5140A5B0">
      <w:pPr>
        <w:pageBreakBefore w:val="0"/>
        <w:kinsoku/>
        <w:topLinePunct w:val="0"/>
        <w:bidi w:val="0"/>
        <w:snapToGrid/>
        <w:spacing w:line="360" w:lineRule="auto"/>
        <w:ind w:firstLine="525" w:firstLineChars="25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1.本项目不允许转包。</w:t>
      </w:r>
    </w:p>
    <w:p w14:paraId="0FD62205">
      <w:pPr>
        <w:pageBreakBefore w:val="0"/>
        <w:kinsoku/>
        <w:topLinePunct w:val="0"/>
        <w:bidi w:val="0"/>
        <w:snapToGrid/>
        <w:spacing w:line="360" w:lineRule="auto"/>
        <w:ind w:firstLine="525" w:firstLineChars="250"/>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2.本项目不允许分包。</w:t>
      </w:r>
    </w:p>
    <w:p w14:paraId="045072BD">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eastAsia="zh-CN"/>
          <w14:textFill>
            <w14:solidFill>
              <w14:schemeClr w14:val="tx1"/>
            </w14:solidFill>
          </w14:textFill>
        </w:rPr>
        <w:t>（八）</w:t>
      </w:r>
      <w:r>
        <w:rPr>
          <w:rFonts w:hint="eastAsia" w:ascii="宋体" w:hAnsi="宋体" w:eastAsia="宋体" w:cs="宋体"/>
          <w:b/>
          <w:color w:val="000000" w:themeColor="text1"/>
          <w:sz w:val="21"/>
          <w:szCs w:val="21"/>
          <w:highlight w:val="none"/>
          <w:lang w:val="zh-CN"/>
          <w14:textFill>
            <w14:solidFill>
              <w14:schemeClr w14:val="tx1"/>
            </w14:solidFill>
          </w14:textFill>
        </w:rPr>
        <w:t>代理服务费</w:t>
      </w:r>
    </w:p>
    <w:p w14:paraId="0033EF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000000" w:themeColor="text1"/>
          <w:sz w:val="2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本项目代理服务费</w:t>
      </w:r>
      <w:r>
        <w:rPr>
          <w:rFonts w:hint="eastAsia" w:ascii="宋体" w:hAnsi="宋体" w:cs="宋体"/>
          <w:bCs/>
          <w:color w:val="000000" w:themeColor="text1"/>
          <w:szCs w:val="21"/>
          <w:highlight w:val="none"/>
          <w:lang w:val="en-US" w:eastAsia="zh-CN"/>
          <w14:textFill>
            <w14:solidFill>
              <w14:schemeClr w14:val="tx1"/>
            </w14:solidFill>
          </w14:textFill>
        </w:rPr>
        <w:t>2700元，</w:t>
      </w:r>
      <w:r>
        <w:rPr>
          <w:rFonts w:hint="eastAsia" w:ascii="宋体" w:hAnsi="宋体" w:cs="宋体"/>
          <w:bCs/>
          <w:color w:val="000000" w:themeColor="text1"/>
          <w:szCs w:val="21"/>
          <w:highlight w:val="none"/>
          <w14:textFill>
            <w14:solidFill>
              <w14:schemeClr w14:val="tx1"/>
            </w14:solidFill>
          </w14:textFill>
        </w:rPr>
        <w:t>每家中标行支付</w:t>
      </w:r>
      <w:r>
        <w:rPr>
          <w:rFonts w:hint="eastAsia" w:ascii="宋体" w:hAnsi="宋体" w:cs="宋体"/>
          <w:bCs/>
          <w:color w:val="000000" w:themeColor="text1"/>
          <w:szCs w:val="21"/>
          <w:highlight w:val="none"/>
          <w:lang w:val="en-US" w:eastAsia="zh-CN"/>
          <w14:textFill>
            <w14:solidFill>
              <w14:schemeClr w14:val="tx1"/>
            </w14:solidFill>
          </w14:textFill>
        </w:rPr>
        <w:t>180</w:t>
      </w:r>
      <w:r>
        <w:rPr>
          <w:rFonts w:hint="eastAsia" w:ascii="宋体" w:hAnsi="宋体" w:cs="宋体"/>
          <w:bCs/>
          <w:color w:val="000000" w:themeColor="text1"/>
          <w:szCs w:val="21"/>
          <w:highlight w:val="none"/>
          <w14:textFill>
            <w14:solidFill>
              <w14:schemeClr w14:val="tx1"/>
            </w14:solidFill>
          </w14:textFill>
        </w:rPr>
        <w:t>元</w:t>
      </w:r>
      <w:r>
        <w:rPr>
          <w:rFonts w:hint="eastAsia" w:ascii="宋体" w:hAnsi="宋体" w:cs="宋体"/>
          <w:bCs/>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费用不在报价中单列，请竞标银行在报价中予以考虑</w:t>
      </w:r>
      <w:r>
        <w:rPr>
          <w:rFonts w:hint="eastAsia" w:ascii="宋体" w:hAnsi="宋体" w:eastAsia="宋体" w:cs="宋体"/>
          <w:color w:val="000000" w:themeColor="text1"/>
          <w:sz w:val="21"/>
          <w:szCs w:val="21"/>
          <w:highlight w:val="none"/>
          <w:lang w:eastAsia="zh-CN"/>
          <w14:textFill>
            <w14:solidFill>
              <w14:schemeClr w14:val="tx1"/>
            </w14:solidFill>
          </w14:textFill>
        </w:rPr>
        <w:t>。并</w:t>
      </w:r>
      <w:r>
        <w:rPr>
          <w:rFonts w:hint="eastAsia" w:ascii="宋体" w:hAnsi="宋体" w:eastAsia="宋体" w:cs="宋体"/>
          <w:color w:val="000000" w:themeColor="text1"/>
          <w:sz w:val="21"/>
          <w:szCs w:val="21"/>
          <w:highlight w:val="none"/>
          <w14:textFill>
            <w14:solidFill>
              <w14:schemeClr w14:val="tx1"/>
            </w14:solidFill>
          </w14:textFill>
        </w:rPr>
        <w:t>在领取中标通知书时由中标人一次性向招标代理机构付清</w:t>
      </w:r>
      <w:r>
        <w:rPr>
          <w:rFonts w:hint="eastAsia" w:ascii="宋体" w:hAnsi="宋体" w:eastAsia="宋体" w:cs="宋体"/>
          <w:b w:val="0"/>
          <w:bCs/>
          <w:color w:val="000000" w:themeColor="text1"/>
          <w:sz w:val="21"/>
          <w:szCs w:val="21"/>
          <w:highlight w:val="none"/>
          <w14:textFill>
            <w14:solidFill>
              <w14:schemeClr w14:val="tx1"/>
            </w14:solidFill>
          </w14:textFill>
        </w:rPr>
        <w:t>。</w:t>
      </w:r>
    </w:p>
    <w:p w14:paraId="536FEA78">
      <w:pPr>
        <w:pageBreakBefore w:val="0"/>
        <w:kinsoku/>
        <w:topLinePunct w:val="0"/>
        <w:autoSpaceDE w:val="0"/>
        <w:autoSpaceDN w:val="0"/>
        <w:bidi w:val="0"/>
        <w:adjustRightInd w:val="0"/>
        <w:snapToGrid/>
        <w:spacing w:line="360" w:lineRule="auto"/>
        <w:ind w:firstLine="210" w:firstLineChars="100"/>
        <w:jc w:val="left"/>
        <w:rPr>
          <w:rFonts w:hint="eastAsia"/>
          <w:b/>
          <w:bCs w:val="0"/>
          <w:color w:val="000000" w:themeColor="text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lang w:eastAsia="zh-CN"/>
          <w14:textFill>
            <w14:solidFill>
              <w14:schemeClr w14:val="tx1"/>
            </w14:solidFill>
          </w14:textFill>
        </w:rPr>
        <w:t>（九）</w:t>
      </w:r>
      <w:r>
        <w:rPr>
          <w:rFonts w:hint="eastAsia" w:ascii="宋体" w:hAnsi="宋体" w:eastAsia="宋体" w:cs="宋体"/>
          <w:b/>
          <w:color w:val="000000" w:themeColor="text1"/>
          <w:sz w:val="21"/>
          <w:szCs w:val="21"/>
          <w:highlight w:val="none"/>
          <w:lang w:val="zh-CN" w:eastAsia="zh-CN"/>
          <w14:textFill>
            <w14:solidFill>
              <w14:schemeClr w14:val="tx1"/>
            </w14:solidFill>
          </w14:textFill>
        </w:rPr>
        <w:t>投标</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保证金</w:t>
      </w:r>
    </w:p>
    <w:p w14:paraId="2FA8724E">
      <w:pPr>
        <w:pageBreakBefore w:val="0"/>
        <w:kinsoku/>
        <w:topLinePunct w:val="0"/>
        <w:bidi w:val="0"/>
        <w:snapToGrid/>
        <w:spacing w:line="360" w:lineRule="auto"/>
        <w:ind w:firstLine="525" w:firstLineChars="250"/>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无需缴纳投标保证金。</w:t>
      </w:r>
    </w:p>
    <w:p w14:paraId="3CA19C7E">
      <w:pPr>
        <w:pStyle w:val="3"/>
        <w:pageBreakBefore w:val="0"/>
        <w:kinsoku/>
        <w:topLinePunct w:val="0"/>
        <w:bidi w:val="0"/>
        <w:snapToGrid/>
        <w:spacing w:before="0" w:after="0" w:line="360" w:lineRule="auto"/>
        <w:jc w:val="left"/>
        <w:rPr>
          <w:rFonts w:hint="eastAsia" w:ascii="宋体" w:hAnsi="宋体" w:eastAsia="宋体" w:cs="宋体"/>
          <w:bCs w:val="0"/>
          <w:color w:val="000000" w:themeColor="text1"/>
          <w:sz w:val="21"/>
          <w:szCs w:val="21"/>
          <w:highlight w:val="none"/>
          <w:lang w:val="zh-CN"/>
          <w14:textFill>
            <w14:solidFill>
              <w14:schemeClr w14:val="tx1"/>
            </w14:solidFill>
          </w14:textFill>
        </w:rPr>
      </w:pPr>
      <w:bookmarkStart w:id="32" w:name="_Toc9588"/>
      <w:bookmarkStart w:id="33" w:name="_Toc25358"/>
      <w:bookmarkStart w:id="34" w:name="_Toc22321"/>
      <w:bookmarkStart w:id="35" w:name="_Toc7821"/>
      <w:bookmarkStart w:id="36" w:name="_Toc11069"/>
      <w:bookmarkStart w:id="37" w:name="_Toc6354"/>
      <w:bookmarkStart w:id="38" w:name="_Toc6068"/>
      <w:r>
        <w:rPr>
          <w:rFonts w:hint="eastAsia" w:ascii="宋体" w:hAnsi="宋体" w:eastAsia="宋体" w:cs="宋体"/>
          <w:bCs w:val="0"/>
          <w:color w:val="000000" w:themeColor="text1"/>
          <w:sz w:val="21"/>
          <w:szCs w:val="21"/>
          <w:highlight w:val="none"/>
          <w:lang w:val="zh-CN"/>
          <w14:textFill>
            <w14:solidFill>
              <w14:schemeClr w14:val="tx1"/>
            </w14:solidFill>
          </w14:textFill>
        </w:rPr>
        <w:t>二、</w:t>
      </w:r>
      <w:bookmarkEnd w:id="32"/>
      <w:bookmarkEnd w:id="33"/>
      <w:bookmarkEnd w:id="34"/>
      <w:bookmarkEnd w:id="35"/>
      <w:bookmarkEnd w:id="36"/>
      <w:bookmarkEnd w:id="37"/>
      <w:r>
        <w:rPr>
          <w:rFonts w:hint="eastAsia" w:ascii="宋体" w:hAnsi="宋体" w:eastAsia="宋体" w:cs="宋体"/>
          <w:bCs w:val="0"/>
          <w:color w:val="000000" w:themeColor="text1"/>
          <w:sz w:val="21"/>
          <w:szCs w:val="21"/>
          <w:highlight w:val="none"/>
          <w:lang w:val="zh-CN"/>
          <w14:textFill>
            <w14:solidFill>
              <w14:schemeClr w14:val="tx1"/>
            </w14:solidFill>
          </w14:textFill>
        </w:rPr>
        <w:t>招标文件</w:t>
      </w:r>
      <w:bookmarkEnd w:id="38"/>
    </w:p>
    <w:p w14:paraId="1DA54312">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（一）招标文件的构成。本招标文件由以下部</w:t>
      </w:r>
      <w:r>
        <w:rPr>
          <w:rFonts w:hint="eastAsia" w:ascii="宋体" w:hAnsi="宋体" w:cs="宋体"/>
          <w:b/>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b/>
          <w:color w:val="000000" w:themeColor="text1"/>
          <w:sz w:val="21"/>
          <w:szCs w:val="21"/>
          <w:highlight w:val="none"/>
          <w:lang w:val="zh-CN"/>
          <w14:textFill>
            <w14:solidFill>
              <w14:schemeClr w14:val="tx1"/>
            </w14:solidFill>
          </w14:textFill>
        </w:rPr>
        <w:t>组成：</w:t>
      </w:r>
    </w:p>
    <w:p w14:paraId="4F7AC179">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招标公告</w:t>
      </w:r>
    </w:p>
    <w:p w14:paraId="6FFBDA7B">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2.投标须知</w:t>
      </w:r>
    </w:p>
    <w:p w14:paraId="72931934">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内容及要求</w:t>
      </w:r>
    </w:p>
    <w:p w14:paraId="386E32C8">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4.评标办法</w:t>
      </w:r>
    </w:p>
    <w:p w14:paraId="2B860524">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5.合同主要条款</w:t>
      </w:r>
    </w:p>
    <w:p w14:paraId="3A289DC2">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6.投标文件格式</w:t>
      </w:r>
    </w:p>
    <w:p w14:paraId="0E530B63">
      <w:pPr>
        <w:pageBreakBefore w:val="0"/>
        <w:kinsoku/>
        <w:topLinePunct w:val="0"/>
        <w:bidi w:val="0"/>
        <w:snapToGrid/>
        <w:spacing w:line="360" w:lineRule="auto"/>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7.本项目</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的澄清、答复、修改、补充的内容（如有）</w:t>
      </w:r>
    </w:p>
    <w:p w14:paraId="03B49A79">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（二）投标人的风险</w:t>
      </w:r>
    </w:p>
    <w:p w14:paraId="687D7F2B">
      <w:pPr>
        <w:pStyle w:val="7"/>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投标人应认真审阅</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中所有的事项、格式、条款和规范要求等，若投标人的投标文件没有按</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要求提交全部资料，或投标文件没有对</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做出实质性响应，并根据有关条款规定，其风险由投标人自行承担。</w:t>
      </w:r>
    </w:p>
    <w:p w14:paraId="50DBE923">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 xml:space="preserve">（三）招标文件的澄清与修改 </w:t>
      </w:r>
    </w:p>
    <w:p w14:paraId="754412DC">
      <w:pPr>
        <w:pStyle w:val="8"/>
        <w:pageBreakBefore w:val="0"/>
        <w:kinsoku/>
        <w:topLinePunct w:val="0"/>
        <w:bidi w:val="0"/>
        <w:snapToGrid/>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hAnsi="宋体" w:eastAsia="宋体" w:cs="宋体"/>
          <w:bCs/>
          <w:color w:val="000000" w:themeColor="text1"/>
          <w:sz w:val="21"/>
          <w:szCs w:val="21"/>
          <w:highlight w:val="none"/>
          <w:lang w:eastAsia="zh-CN"/>
          <w14:textFill>
            <w14:solidFill>
              <w14:schemeClr w14:val="tx1"/>
            </w14:solidFill>
          </w14:textFill>
        </w:rPr>
        <w:t>招标人</w:t>
      </w:r>
      <w:r>
        <w:rPr>
          <w:rFonts w:hint="eastAsia" w:ascii="宋体" w:hAnsi="宋体" w:eastAsia="宋体" w:cs="宋体"/>
          <w:bCs/>
          <w:color w:val="000000" w:themeColor="text1"/>
          <w:sz w:val="21"/>
          <w:szCs w:val="21"/>
          <w:highlight w:val="none"/>
          <w14:textFill>
            <w14:solidFill>
              <w14:schemeClr w14:val="tx1"/>
            </w14:solidFill>
          </w14:textFill>
        </w:rPr>
        <w:t>或者</w:t>
      </w:r>
      <w:r>
        <w:rPr>
          <w:rFonts w:hint="eastAsia" w:hAnsi="宋体" w:eastAsia="宋体" w:cs="宋体"/>
          <w:bCs/>
          <w:color w:val="000000" w:themeColor="text1"/>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sz w:val="21"/>
          <w:szCs w:val="21"/>
          <w:highlight w:val="none"/>
          <w14:textFill>
            <w14:solidFill>
              <w14:schemeClr w14:val="tx1"/>
            </w14:solidFill>
          </w14:textFill>
        </w:rPr>
        <w:t>代理机构可以对已发出的</w:t>
      </w:r>
      <w:r>
        <w:rPr>
          <w:rFonts w:hint="eastAsia" w:hAnsi="宋体" w:eastAsia="宋体" w:cs="宋体"/>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sz w:val="21"/>
          <w:szCs w:val="21"/>
          <w:highlight w:val="none"/>
          <w14:textFill>
            <w14:solidFill>
              <w14:schemeClr w14:val="tx1"/>
            </w14:solidFill>
          </w14:textFill>
        </w:rPr>
        <w:t>进行必要的澄清或者修改。澄清或者修改的内容在原公告发布媒体上以补充（更正）公告形式通知所有获取</w:t>
      </w:r>
      <w:r>
        <w:rPr>
          <w:rFonts w:hint="eastAsia" w:hAnsi="宋体" w:eastAsia="宋体" w:cs="宋体"/>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sz w:val="21"/>
          <w:szCs w:val="21"/>
          <w:highlight w:val="none"/>
          <w14:textFill>
            <w14:solidFill>
              <w14:schemeClr w14:val="tx1"/>
            </w14:solidFill>
          </w14:textFill>
        </w:rPr>
        <w:t>的潜在投标人。澄清或者修改的内容作为</w:t>
      </w:r>
      <w:r>
        <w:rPr>
          <w:rFonts w:hint="eastAsia" w:hAnsi="宋体" w:eastAsia="宋体" w:cs="宋体"/>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sz w:val="21"/>
          <w:szCs w:val="21"/>
          <w:highlight w:val="none"/>
          <w14:textFill>
            <w14:solidFill>
              <w14:schemeClr w14:val="tx1"/>
            </w14:solidFill>
          </w14:textFill>
        </w:rPr>
        <w:t>的补充和组成部分，对所有投标人均有约束力。澄清或者修改的内容可能影响投标文件编制且发出时间距投标截止时间不足</w:t>
      </w:r>
      <w:r>
        <w:rPr>
          <w:rFonts w:hint="eastAsia" w:hAnsi="宋体" w:cs="宋体"/>
          <w:bCs/>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个工作日</w:t>
      </w:r>
      <w:r>
        <w:rPr>
          <w:rFonts w:hint="eastAsia" w:ascii="宋体" w:hAnsi="宋体" w:eastAsia="宋体" w:cs="宋体"/>
          <w:bCs/>
          <w:color w:val="000000" w:themeColor="text1"/>
          <w:sz w:val="21"/>
          <w:szCs w:val="21"/>
          <w:highlight w:val="none"/>
          <w14:textFill>
            <w14:solidFill>
              <w14:schemeClr w14:val="tx1"/>
            </w14:solidFill>
          </w14:textFill>
        </w:rPr>
        <w:t>的，将顺延投标截止时间。</w:t>
      </w:r>
    </w:p>
    <w:p w14:paraId="2019EB42">
      <w:pPr>
        <w:pStyle w:val="8"/>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2.投标人应认真阅读本</w:t>
      </w:r>
      <w:r>
        <w:rPr>
          <w:rFonts w:hint="eastAsia" w:hAnsi="宋体" w:eastAsia="宋体" w:cs="宋体"/>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sz w:val="21"/>
          <w:szCs w:val="21"/>
          <w:highlight w:val="none"/>
          <w14:textFill>
            <w14:solidFill>
              <w14:schemeClr w14:val="tx1"/>
            </w14:solidFill>
          </w14:textFill>
        </w:rPr>
        <w:t>，发现其中有误或有不合理要求的，投标人应当</w:t>
      </w:r>
      <w:r>
        <w:rPr>
          <w:rFonts w:hint="eastAsia" w:hAnsi="宋体" w:eastAsia="宋体" w:cs="宋体"/>
          <w:bCs/>
          <w:color w:val="000000" w:themeColor="text1"/>
          <w:sz w:val="21"/>
          <w:szCs w:val="21"/>
          <w:highlight w:val="none"/>
          <w:lang w:eastAsia="zh-CN"/>
          <w14:textFill>
            <w14:solidFill>
              <w14:schemeClr w14:val="tx1"/>
            </w14:solidFill>
          </w14:textFill>
        </w:rPr>
        <w:t>在</w:t>
      </w:r>
      <w:r>
        <w:rPr>
          <w:rFonts w:hint="eastAsia" w:ascii="宋体" w:hAnsi="宋体" w:eastAsia="宋体" w:cs="宋体"/>
          <w:bCs/>
          <w:color w:val="000000" w:themeColor="text1"/>
          <w:sz w:val="21"/>
          <w:szCs w:val="21"/>
          <w:highlight w:val="none"/>
          <w14:textFill>
            <w14:solidFill>
              <w14:schemeClr w14:val="tx1"/>
            </w14:solidFill>
          </w14:textFill>
        </w:rPr>
        <w:t>自知道或者应当知道其合法权益受到损害之日起</w:t>
      </w:r>
      <w:r>
        <w:rPr>
          <w:rFonts w:hint="eastAsia" w:hAnsi="宋体" w:eastAsia="宋体" w:cs="宋体"/>
          <w:bCs/>
          <w:color w:val="000000" w:themeColor="text1"/>
          <w:sz w:val="21"/>
          <w:szCs w:val="21"/>
          <w:highlight w:val="none"/>
          <w:lang w:val="en-US" w:eastAsia="zh-CN"/>
          <w14:textFill>
            <w14:solidFill>
              <w14:schemeClr w14:val="tx1"/>
            </w14:solidFill>
          </w14:textFill>
        </w:rPr>
        <w:t>2个工作日</w:t>
      </w:r>
      <w:r>
        <w:rPr>
          <w:rFonts w:hint="eastAsia" w:ascii="宋体" w:hAnsi="宋体" w:eastAsia="宋体" w:cs="宋体"/>
          <w:bCs/>
          <w:color w:val="000000" w:themeColor="text1"/>
          <w:sz w:val="21"/>
          <w:szCs w:val="21"/>
          <w:highlight w:val="none"/>
          <w14:textFill>
            <w14:solidFill>
              <w14:schemeClr w14:val="tx1"/>
            </w14:solidFill>
          </w14:textFill>
        </w:rPr>
        <w:t>内提出质疑。对</w:t>
      </w:r>
      <w:r>
        <w:rPr>
          <w:rFonts w:hint="eastAsia" w:hAnsi="宋体" w:eastAsia="宋体" w:cs="宋体"/>
          <w:bCs/>
          <w:color w:val="000000" w:themeColor="text1"/>
          <w:sz w:val="21"/>
          <w:szCs w:val="21"/>
          <w:highlight w:val="none"/>
          <w:lang w:eastAsia="zh-CN"/>
          <w14:textFill>
            <w14:solidFill>
              <w14:schemeClr w14:val="tx1"/>
            </w14:solidFill>
          </w14:textFill>
        </w:rPr>
        <w:t>招标公告</w:t>
      </w:r>
      <w:r>
        <w:rPr>
          <w:rFonts w:hint="eastAsia" w:ascii="宋体" w:hAnsi="宋体" w:eastAsia="宋体" w:cs="宋体"/>
          <w:bCs/>
          <w:color w:val="000000" w:themeColor="text1"/>
          <w:sz w:val="21"/>
          <w:szCs w:val="21"/>
          <w:highlight w:val="none"/>
          <w14:textFill>
            <w14:solidFill>
              <w14:schemeClr w14:val="tx1"/>
            </w14:solidFill>
          </w14:textFill>
        </w:rPr>
        <w:t>信息（含投标人资格条件）提出质疑的，质疑期限自</w:t>
      </w:r>
      <w:r>
        <w:rPr>
          <w:rFonts w:hint="eastAsia" w:hAnsi="宋体" w:eastAsia="宋体" w:cs="宋体"/>
          <w:bCs/>
          <w:color w:val="000000" w:themeColor="text1"/>
          <w:sz w:val="21"/>
          <w:szCs w:val="21"/>
          <w:highlight w:val="none"/>
          <w:lang w:eastAsia="zh-CN"/>
          <w14:textFill>
            <w14:solidFill>
              <w14:schemeClr w14:val="tx1"/>
            </w14:solidFill>
          </w14:textFill>
        </w:rPr>
        <w:t>招标公告</w:t>
      </w:r>
      <w:r>
        <w:rPr>
          <w:rFonts w:hint="eastAsia" w:ascii="宋体" w:hAnsi="宋体" w:eastAsia="宋体" w:cs="宋体"/>
          <w:bCs/>
          <w:color w:val="000000" w:themeColor="text1"/>
          <w:sz w:val="21"/>
          <w:szCs w:val="21"/>
          <w:highlight w:val="none"/>
          <w14:textFill>
            <w14:solidFill>
              <w14:schemeClr w14:val="tx1"/>
            </w14:solidFill>
          </w14:textFill>
        </w:rPr>
        <w:t>期限届满之日起计算。</w:t>
      </w:r>
      <w:r>
        <w:rPr>
          <w:rFonts w:hint="eastAsia" w:ascii="宋体" w:hAnsi="宋体" w:eastAsia="宋体" w:cs="宋体"/>
          <w:color w:val="000000" w:themeColor="text1"/>
          <w:sz w:val="21"/>
          <w:szCs w:val="21"/>
          <w:highlight w:val="none"/>
          <w14:textFill>
            <w14:solidFill>
              <w14:schemeClr w14:val="tx1"/>
            </w14:solidFill>
          </w14:textFill>
        </w:rPr>
        <w:t>针对同一</w:t>
      </w:r>
      <w:r>
        <w:rPr>
          <w:rFonts w:hint="eastAsia"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程序环节的质疑，</w:t>
      </w:r>
      <w:r>
        <w:rPr>
          <w:rFonts w:hint="eastAsia"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应在法定期限内一次性提出（即针对同一</w:t>
      </w:r>
      <w:r>
        <w:rPr>
          <w:rFonts w:hint="eastAsia"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程序环节的质疑</w:t>
      </w:r>
      <w:r>
        <w:rPr>
          <w:rFonts w:hint="eastAsia"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代理机构仅受理一次）。</w:t>
      </w:r>
    </w:p>
    <w:p w14:paraId="6C878693">
      <w:pPr>
        <w:pStyle w:val="8"/>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澄清、答复、修改、补充的内容为</w:t>
      </w:r>
      <w:r>
        <w:rPr>
          <w:rFonts w:hint="eastAsia"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的组成部分。当</w:t>
      </w:r>
      <w:r>
        <w:rPr>
          <w:rFonts w:hint="eastAsia"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的答复、澄清、修改、补充通知就同一内容的表述不一致时，以最后发出的书面文件为准。</w:t>
      </w:r>
    </w:p>
    <w:p w14:paraId="6B4A1D4C">
      <w:pPr>
        <w:pStyle w:val="3"/>
        <w:pageBreakBefore w:val="0"/>
        <w:kinsoku/>
        <w:topLinePunct w:val="0"/>
        <w:bidi w:val="0"/>
        <w:snapToGrid/>
        <w:spacing w:before="0" w:after="0" w:line="360" w:lineRule="auto"/>
        <w:jc w:val="left"/>
        <w:rPr>
          <w:rFonts w:hint="eastAsia" w:ascii="宋体" w:hAnsi="宋体" w:eastAsia="宋体" w:cs="宋体"/>
          <w:bCs w:val="0"/>
          <w:color w:val="000000" w:themeColor="text1"/>
          <w:sz w:val="21"/>
          <w:szCs w:val="21"/>
          <w:highlight w:val="none"/>
          <w:lang w:val="zh-CN"/>
          <w14:textFill>
            <w14:solidFill>
              <w14:schemeClr w14:val="tx1"/>
            </w14:solidFill>
          </w14:textFill>
        </w:rPr>
      </w:pPr>
      <w:bookmarkStart w:id="39" w:name="_Toc30124"/>
      <w:bookmarkStart w:id="40" w:name="_Toc11434"/>
      <w:bookmarkStart w:id="41" w:name="_Toc2854"/>
      <w:bookmarkStart w:id="42" w:name="_Toc4647"/>
      <w:bookmarkStart w:id="43" w:name="_Toc25719"/>
      <w:bookmarkStart w:id="44" w:name="_Toc29977"/>
      <w:bookmarkStart w:id="45" w:name="_Toc3113"/>
      <w:r>
        <w:rPr>
          <w:rFonts w:hint="eastAsia" w:ascii="宋体" w:hAnsi="宋体" w:eastAsia="宋体" w:cs="宋体"/>
          <w:bCs w:val="0"/>
          <w:color w:val="000000" w:themeColor="text1"/>
          <w:sz w:val="21"/>
          <w:szCs w:val="21"/>
          <w:highlight w:val="none"/>
          <w:lang w:val="zh-CN"/>
          <w14:textFill>
            <w14:solidFill>
              <w14:schemeClr w14:val="tx1"/>
            </w14:solidFill>
          </w14:textFill>
        </w:rPr>
        <w:t>三、投标文件</w:t>
      </w:r>
      <w:bookmarkEnd w:id="39"/>
      <w:bookmarkEnd w:id="40"/>
      <w:bookmarkEnd w:id="41"/>
      <w:bookmarkEnd w:id="42"/>
      <w:bookmarkEnd w:id="43"/>
      <w:bookmarkEnd w:id="44"/>
      <w:bookmarkEnd w:id="45"/>
    </w:p>
    <w:p w14:paraId="757F826E">
      <w:pPr>
        <w:pageBreakBefore w:val="0"/>
        <w:kinsoku/>
        <w:topLinePunct w:val="0"/>
        <w:bidi w:val="0"/>
        <w:snapToGrid/>
        <w:spacing w:line="300" w:lineRule="auto"/>
        <w:ind w:firstLine="420" w:firstLineChars="200"/>
        <w:rPr>
          <w:rFonts w:hint="eastAsia" w:ascii="宋体" w:hAnsi="宋体" w:eastAsia="宋体" w:cs="宋体"/>
          <w:b/>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color w:val="000000" w:themeColor="text1"/>
          <w:sz w:val="21"/>
          <w:szCs w:val="21"/>
          <w:highlight w:val="none"/>
          <w:u w:val="none"/>
          <w:lang w:eastAsia="zh-CN"/>
          <w14:textFill>
            <w14:solidFill>
              <w14:schemeClr w14:val="tx1"/>
            </w14:solidFill>
          </w14:textFill>
        </w:rPr>
        <w:t>（一）投标文件组成</w:t>
      </w:r>
    </w:p>
    <w:p w14:paraId="70FE754B">
      <w:pPr>
        <w:pageBreakBefore w:val="0"/>
        <w:kinsoku/>
        <w:topLinePunct w:val="0"/>
        <w:bidi w:val="0"/>
        <w:snapToGrid/>
        <w:spacing w:line="300" w:lineRule="auto"/>
        <w:ind w:firstLine="420" w:firstLineChars="200"/>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u w:val="none"/>
          <w:lang w:eastAsia="zh-CN"/>
          <w14:textFill>
            <w14:solidFill>
              <w14:schemeClr w14:val="tx1"/>
            </w14:solidFill>
          </w14:textFill>
        </w:rPr>
        <w:t>投标文件包括以下内容：</w:t>
      </w:r>
    </w:p>
    <w:p w14:paraId="2A6AFFE5">
      <w:pPr>
        <w:pageBreakBefore w:val="0"/>
        <w:kinsoku/>
        <w:topLinePunct w:val="0"/>
        <w:autoSpaceDE w:val="0"/>
        <w:autoSpaceDN w:val="0"/>
        <w:bidi w:val="0"/>
        <w:adjustRightInd w:val="0"/>
        <w:snapToGrid/>
        <w:spacing w:line="360" w:lineRule="auto"/>
        <w:ind w:firstLine="420" w:firstLineChars="200"/>
        <w:rPr>
          <w:rFonts w:hint="default"/>
          <w:color w:val="000000" w:themeColor="text1"/>
          <w:highlight w:val="none"/>
          <w:lang w:val="en-US" w:eastAsia="zh-CN"/>
          <w14:textFill>
            <w14:solidFill>
              <w14:schemeClr w14:val="tx1"/>
            </w14:solidFill>
          </w14:textFill>
        </w:rPr>
      </w:pPr>
      <w:r>
        <w:rPr>
          <w:rFonts w:hint="eastAsia" w:ascii="宋体" w:hAnsi="宋体" w:eastAsia="宋体" w:cs="宋体"/>
          <w:b/>
          <w:bCs w:val="0"/>
          <w:color w:val="000000" w:themeColor="text1"/>
          <w:sz w:val="21"/>
          <w:szCs w:val="21"/>
          <w:highlight w:val="none"/>
          <w:u w:val="none"/>
          <w:lang w:val="zh-CN"/>
          <w14:textFill>
            <w14:solidFill>
              <w14:schemeClr w14:val="tx1"/>
            </w14:solidFill>
          </w14:textFill>
        </w:rPr>
        <w:t>▲（</w:t>
      </w: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lang w:val="zh-CN"/>
          <w14:textFill>
            <w14:solidFill>
              <w14:schemeClr w14:val="tx1"/>
            </w14:solidFill>
          </w14:textFill>
        </w:rPr>
        <w:t>）</w:t>
      </w:r>
      <w:r>
        <w:rPr>
          <w:rFonts w:hint="eastAsia" w:ascii="宋体" w:hAnsi="宋体" w:cs="宋体"/>
          <w:b/>
          <w:bCs w:val="0"/>
          <w:color w:val="000000" w:themeColor="text1"/>
          <w:sz w:val="21"/>
          <w:szCs w:val="21"/>
          <w:highlight w:val="none"/>
          <w:lang w:val="zh-CN"/>
          <w14:textFill>
            <w14:solidFill>
              <w14:schemeClr w14:val="tx1"/>
            </w14:solidFill>
          </w14:textFill>
        </w:rPr>
        <w:t>投标声明书</w:t>
      </w:r>
      <w:r>
        <w:rPr>
          <w:rFonts w:hint="eastAsia" w:ascii="宋体" w:hAnsi="宋体" w:eastAsia="宋体" w:cs="宋体"/>
          <w:b/>
          <w:bCs w:val="0"/>
          <w:color w:val="000000" w:themeColor="text1"/>
          <w:sz w:val="21"/>
          <w:szCs w:val="21"/>
          <w:highlight w:val="none"/>
          <w14:textFill>
            <w14:solidFill>
              <w14:schemeClr w14:val="tx1"/>
            </w14:solidFill>
          </w14:textFill>
        </w:rPr>
        <w:t>【格式见</w:t>
      </w:r>
      <w:r>
        <w:rPr>
          <w:rFonts w:hint="eastAsia" w:ascii="宋体" w:hAnsi="宋体" w:eastAsia="宋体" w:cs="宋体"/>
          <w:b/>
          <w:bCs w:val="0"/>
          <w:color w:val="000000" w:themeColor="text1"/>
          <w:sz w:val="21"/>
          <w:szCs w:val="21"/>
          <w:highlight w:val="none"/>
          <w:u w:val="none"/>
          <w14:textFill>
            <w14:solidFill>
              <w14:schemeClr w14:val="tx1"/>
            </w14:solidFill>
          </w14:textFill>
        </w:rPr>
        <w:t>附件</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72A2CD77">
      <w:pPr>
        <w:pageBreakBefore w:val="0"/>
        <w:kinsoku/>
        <w:topLinePunct w:val="0"/>
        <w:autoSpaceDE w:val="0"/>
        <w:autoSpaceDN w:val="0"/>
        <w:bidi w:val="0"/>
        <w:adjustRightInd w:val="0"/>
        <w:snapToGrid/>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u w:val="none"/>
          <w:lang w:val="zh-CN"/>
          <w14:textFill>
            <w14:solidFill>
              <w14:schemeClr w14:val="tx1"/>
            </w14:solidFill>
          </w14:textFill>
        </w:rPr>
        <w:t>▲（</w:t>
      </w:r>
      <w:r>
        <w:rPr>
          <w:rFonts w:hint="eastAsia" w:ascii="宋体" w:hAnsi="宋体" w:cs="宋体"/>
          <w:b/>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bCs w:val="0"/>
          <w:color w:val="000000" w:themeColor="text1"/>
          <w:sz w:val="21"/>
          <w:szCs w:val="21"/>
          <w:highlight w:val="none"/>
          <w:lang w:val="zh-CN"/>
          <w14:textFill>
            <w14:solidFill>
              <w14:schemeClr w14:val="tx1"/>
            </w14:solidFill>
          </w14:textFill>
        </w:rPr>
        <w:t>）廉政承诺书</w:t>
      </w:r>
      <w:r>
        <w:rPr>
          <w:rFonts w:hint="eastAsia" w:ascii="宋体" w:hAnsi="宋体" w:eastAsia="宋体" w:cs="宋体"/>
          <w:b/>
          <w:bCs w:val="0"/>
          <w:color w:val="000000" w:themeColor="text1"/>
          <w:sz w:val="21"/>
          <w:szCs w:val="21"/>
          <w:highlight w:val="none"/>
          <w14:textFill>
            <w14:solidFill>
              <w14:schemeClr w14:val="tx1"/>
            </w14:solidFill>
          </w14:textFill>
        </w:rPr>
        <w:t>【格式见</w:t>
      </w:r>
      <w:r>
        <w:rPr>
          <w:rFonts w:hint="eastAsia" w:ascii="宋体" w:hAnsi="宋体" w:eastAsia="宋体" w:cs="宋体"/>
          <w:b/>
          <w:bCs w:val="0"/>
          <w:color w:val="000000" w:themeColor="text1"/>
          <w:sz w:val="21"/>
          <w:szCs w:val="21"/>
          <w:highlight w:val="none"/>
          <w:u w:val="none"/>
          <w14:textFill>
            <w14:solidFill>
              <w14:schemeClr w14:val="tx1"/>
            </w14:solidFill>
          </w14:textFill>
        </w:rPr>
        <w:t>附件</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4</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0FDF2745">
      <w:pPr>
        <w:pageBreakBefore w:val="0"/>
        <w:kinsoku/>
        <w:topLinePunct w:val="0"/>
        <w:autoSpaceDE w:val="0"/>
        <w:autoSpaceDN w:val="0"/>
        <w:bidi w:val="0"/>
        <w:adjustRightInd w:val="0"/>
        <w:snapToGrid/>
        <w:spacing w:line="360" w:lineRule="auto"/>
        <w:ind w:firstLine="420"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sz w:val="21"/>
          <w:szCs w:val="21"/>
          <w:highlight w:val="none"/>
          <w:u w:val="none"/>
          <w:lang w:val="zh-CN"/>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cs="宋体"/>
          <w:b/>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bCs w:val="0"/>
          <w:color w:val="000000" w:themeColor="text1"/>
          <w:sz w:val="21"/>
          <w:szCs w:val="21"/>
          <w:highlight w:val="none"/>
          <w:lang w:val="zh-CN"/>
          <w14:textFill>
            <w14:solidFill>
              <w14:schemeClr w14:val="tx1"/>
            </w14:solidFill>
          </w14:textFill>
        </w:rPr>
        <w:t>开标一览表</w:t>
      </w:r>
      <w:r>
        <w:rPr>
          <w:rFonts w:hint="eastAsia" w:ascii="宋体" w:hAnsi="宋体" w:eastAsia="宋体" w:cs="宋体"/>
          <w:b/>
          <w:bCs w:val="0"/>
          <w:color w:val="000000" w:themeColor="text1"/>
          <w:sz w:val="21"/>
          <w:szCs w:val="21"/>
          <w:highlight w:val="none"/>
          <w14:textFill>
            <w14:solidFill>
              <w14:schemeClr w14:val="tx1"/>
            </w14:solidFill>
          </w14:textFill>
        </w:rPr>
        <w:t>【格式见</w:t>
      </w:r>
      <w:r>
        <w:rPr>
          <w:rFonts w:hint="eastAsia" w:ascii="宋体" w:hAnsi="宋体" w:eastAsia="宋体" w:cs="宋体"/>
          <w:b/>
          <w:bCs w:val="0"/>
          <w:color w:val="000000" w:themeColor="text1"/>
          <w:sz w:val="21"/>
          <w:szCs w:val="21"/>
          <w:highlight w:val="none"/>
          <w:u w:val="none"/>
          <w14:textFill>
            <w14:solidFill>
              <w14:schemeClr w14:val="tx1"/>
            </w14:solidFill>
          </w14:textFill>
        </w:rPr>
        <w:t>附件</w:t>
      </w:r>
      <w:r>
        <w:rPr>
          <w:rFonts w:hint="eastAsia" w:ascii="宋体" w:hAnsi="宋体" w:cs="宋体"/>
          <w:b/>
          <w:bCs w:val="0"/>
          <w:color w:val="000000" w:themeColor="text1"/>
          <w:sz w:val="21"/>
          <w:szCs w:val="21"/>
          <w:highlight w:val="none"/>
          <w:u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2EFB5F63">
      <w:pPr>
        <w:pageBreakBefore w:val="0"/>
        <w:kinsoku/>
        <w:topLinePunct w:val="0"/>
        <w:autoSpaceDE w:val="0"/>
        <w:autoSpaceDN w:val="0"/>
        <w:bidi w:val="0"/>
        <w:adjustRightInd w:val="0"/>
        <w:snapToGrid/>
        <w:spacing w:line="360" w:lineRule="auto"/>
        <w:ind w:firstLine="420" w:firstLineChars="200"/>
        <w:rPr>
          <w:rFonts w:hint="eastAsia"/>
          <w:color w:val="000000" w:themeColor="text1"/>
          <w:highlight w:val="none"/>
          <w:lang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（4）资金安全担保函</w:t>
      </w:r>
      <w:r>
        <w:rPr>
          <w:rFonts w:hint="eastAsia" w:ascii="宋体" w:hAnsi="宋体" w:eastAsia="宋体" w:cs="宋体"/>
          <w:b/>
          <w:bCs w:val="0"/>
          <w:color w:val="000000" w:themeColor="text1"/>
          <w:sz w:val="21"/>
          <w:szCs w:val="21"/>
          <w:highlight w:val="none"/>
          <w14:textFill>
            <w14:solidFill>
              <w14:schemeClr w14:val="tx1"/>
            </w14:solidFill>
          </w14:textFill>
        </w:rPr>
        <w:t>【格式见</w:t>
      </w:r>
      <w:r>
        <w:rPr>
          <w:rFonts w:hint="eastAsia" w:ascii="宋体" w:hAnsi="宋体" w:eastAsia="宋体" w:cs="宋体"/>
          <w:b/>
          <w:bCs w:val="0"/>
          <w:color w:val="000000" w:themeColor="text1"/>
          <w:sz w:val="21"/>
          <w:szCs w:val="21"/>
          <w:highlight w:val="none"/>
          <w:u w:val="none"/>
          <w14:textFill>
            <w14:solidFill>
              <w14:schemeClr w14:val="tx1"/>
            </w14:solidFill>
          </w14:textFill>
        </w:rPr>
        <w:t>附件</w:t>
      </w:r>
      <w:r>
        <w:rPr>
          <w:rFonts w:hint="eastAsia" w:ascii="宋体" w:hAnsi="宋体" w:eastAsia="宋体" w:cs="宋体"/>
          <w:b/>
          <w:bCs w:val="0"/>
          <w:color w:val="000000" w:themeColor="text1"/>
          <w:sz w:val="21"/>
          <w:szCs w:val="21"/>
          <w:highlight w:val="none"/>
          <w:u w:val="none"/>
          <w:lang w:val="en-US" w:eastAsia="zh-CN"/>
          <w14:textFill>
            <w14:solidFill>
              <w14:schemeClr w14:val="tx1"/>
            </w14:solidFill>
          </w14:textFill>
        </w:rPr>
        <w:t>6</w:t>
      </w:r>
      <w:r>
        <w:rPr>
          <w:rFonts w:hint="eastAsia" w:ascii="宋体" w:hAnsi="宋体" w:eastAsia="宋体" w:cs="宋体"/>
          <w:b/>
          <w:bCs w:val="0"/>
          <w:color w:val="000000" w:themeColor="text1"/>
          <w:sz w:val="21"/>
          <w:szCs w:val="21"/>
          <w:highlight w:val="none"/>
          <w14:textFill>
            <w14:solidFill>
              <w14:schemeClr w14:val="tx1"/>
            </w14:solidFill>
          </w14:textFill>
        </w:rPr>
        <w:t>】</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73B6F82F">
      <w:pPr>
        <w:pageBreakBefore w:val="0"/>
        <w:kinsoku/>
        <w:topLinePunct w:val="0"/>
        <w:autoSpaceDE w:val="0"/>
        <w:autoSpaceDN w:val="0"/>
        <w:bidi w:val="0"/>
        <w:adjustRightInd w:val="0"/>
        <w:snapToGrid/>
        <w:spacing w:line="360" w:lineRule="auto"/>
        <w:ind w:firstLine="420" w:firstLineChars="200"/>
        <w:rPr>
          <w:rFonts w:hint="eastAsia" w:ascii="宋体" w:hAnsi="宋体" w:cs="宋体"/>
          <w:b/>
          <w:bCs w:val="0"/>
          <w:color w:val="000000" w:themeColor="text1"/>
          <w:sz w:val="21"/>
          <w:szCs w:val="21"/>
          <w:highlight w:val="none"/>
          <w:lang w:val="zh-CN"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（5）</w:t>
      </w:r>
      <w:r>
        <w:rPr>
          <w:rFonts w:hint="eastAsia" w:ascii="宋体" w:hAnsi="宋体" w:cs="宋体"/>
          <w:b/>
          <w:bCs w:val="0"/>
          <w:color w:val="000000" w:themeColor="text1"/>
          <w:sz w:val="21"/>
          <w:szCs w:val="21"/>
          <w:highlight w:val="none"/>
          <w:lang w:val="zh-CN" w:eastAsia="zh-CN"/>
          <w14:textFill>
            <w14:solidFill>
              <w14:schemeClr w14:val="tx1"/>
            </w14:solidFill>
          </w14:textFill>
        </w:rPr>
        <w:t>根据技术资信评分标准，投标人认为需要提供的其他资料或说明（视情况提供）。</w:t>
      </w:r>
    </w:p>
    <w:p w14:paraId="49F59698">
      <w:pPr>
        <w:pageBreakBefore w:val="0"/>
        <w:kinsoku/>
        <w:topLinePunct w:val="0"/>
        <w:bidi w:val="0"/>
        <w:snapToGrid/>
        <w:spacing w:line="300" w:lineRule="auto"/>
        <w:ind w:firstLine="420" w:firstLineChars="200"/>
        <w:rPr>
          <w:rFonts w:hint="eastAsia" w:ascii="宋体" w:hAnsi="宋体" w:eastAsia="宋体" w:cs="宋体"/>
          <w:b/>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1</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w:t>
      </w:r>
      <w:r>
        <w:rPr>
          <w:rFonts w:hint="eastAsia" w:ascii="宋体" w:hAnsi="宋体" w:eastAsia="宋体" w:cs="宋体"/>
          <w:b/>
          <w:color w:val="000000" w:themeColor="text1"/>
          <w:sz w:val="21"/>
          <w:szCs w:val="21"/>
          <w:highlight w:val="none"/>
          <w:u w:val="singl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w:t>
      </w:r>
      <w:r>
        <w:rPr>
          <w:rFonts w:hint="eastAsia" w:ascii="宋体" w:hAnsi="宋体" w:cs="宋体"/>
          <w:b/>
          <w:color w:val="000000" w:themeColor="text1"/>
          <w:sz w:val="21"/>
          <w:szCs w:val="21"/>
          <w:highlight w:val="none"/>
          <w:u w:val="single"/>
          <w:lang w:val="en-US" w:eastAsia="zh-CN"/>
          <w14:textFill>
            <w14:solidFill>
              <w14:schemeClr w14:val="tx1"/>
            </w14:solidFill>
          </w14:textFill>
        </w:rPr>
        <w:t>3</w:t>
      </w:r>
      <w:r>
        <w:rPr>
          <w:rFonts w:hint="eastAsia" w:ascii="宋体" w:hAnsi="宋体" w:eastAsia="宋体" w:cs="宋体"/>
          <w:b/>
          <w:color w:val="000000" w:themeColor="text1"/>
          <w:sz w:val="21"/>
          <w:szCs w:val="21"/>
          <w:highlight w:val="none"/>
          <w:u w:val="single"/>
          <w:lang w:eastAsia="zh-CN"/>
          <w14:textFill>
            <w14:solidFill>
              <w14:schemeClr w14:val="tx1"/>
            </w14:solidFill>
          </w14:textFill>
        </w:rPr>
        <w:t>）项为实质性要求，投标文件中必须提供，否则作无效投标处理。</w:t>
      </w:r>
      <w:r>
        <w:rPr>
          <w:rFonts w:hint="eastAsia" w:ascii="宋体" w:hAnsi="宋体" w:cs="宋体"/>
          <w:b/>
          <w:bCs w:val="0"/>
          <w:color w:val="000000" w:themeColor="text1"/>
          <w:sz w:val="21"/>
          <w:szCs w:val="21"/>
          <w:highlight w:val="none"/>
          <w:lang w:val="en-US" w:eastAsia="zh-CN"/>
          <w14:textFill>
            <w14:solidFill>
              <w14:schemeClr w14:val="tx1"/>
            </w14:solidFill>
          </w14:textFill>
        </w:rPr>
        <w:t>（4）资金安全担保函</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必须于资金存放前提供。</w:t>
      </w:r>
    </w:p>
    <w:p w14:paraId="51B1E88D">
      <w:pPr>
        <w:pageBreakBefore w:val="0"/>
        <w:kinsoku/>
        <w:topLinePunct w:val="0"/>
        <w:autoSpaceDE w:val="0"/>
        <w:autoSpaceDN w:val="0"/>
        <w:bidi w:val="0"/>
        <w:adjustRightInd w:val="0"/>
        <w:snapToGrid/>
        <w:spacing w:line="360" w:lineRule="auto"/>
        <w:ind w:firstLine="420" w:firstLineChars="200"/>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 w:val="21"/>
          <w:szCs w:val="21"/>
          <w:highlight w:val="none"/>
          <w:lang w:val="zh-CN"/>
          <w14:textFill>
            <w14:solidFill>
              <w14:schemeClr w14:val="tx1"/>
            </w14:solidFill>
          </w14:textFill>
        </w:rPr>
        <w:t>（二）</w:t>
      </w:r>
      <w:r>
        <w:rPr>
          <w:rFonts w:hint="eastAsia" w:ascii="宋体" w:hAnsi="宋体" w:eastAsia="宋体" w:cs="宋体"/>
          <w:b/>
          <w:color w:val="000000" w:themeColor="text1"/>
          <w:sz w:val="21"/>
          <w:szCs w:val="21"/>
          <w:highlight w:val="none"/>
          <w:lang w:val="zh-CN"/>
          <w14:textFill>
            <w14:solidFill>
              <w14:schemeClr w14:val="tx1"/>
            </w14:solidFill>
          </w14:textFill>
        </w:rPr>
        <w:t>投标文件的编制</w:t>
      </w:r>
    </w:p>
    <w:p w14:paraId="41551763">
      <w:pPr>
        <w:pStyle w:val="7"/>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1.投标人编制的投标文件应包括第（一）款“投标文件的组成”规定的内容，</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已提供标准格式的，应当采用</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所提供的投标文件全部格式（可以按同样格式扩展）；</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未提供标准格式的，由投标人自行编写。【</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提供的标准格式见第六章“投标文件格式”】</w:t>
      </w:r>
    </w:p>
    <w:p w14:paraId="24628BCC">
      <w:pPr>
        <w:pStyle w:val="7"/>
        <w:wordWrap w:val="0"/>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val="en-US"/>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投标人应在认真阅读</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文件所有内容的基础上，按照</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文件的要求编制完整的投标文件。投标文件应按照</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文件中规定的统一格式填写。</w:t>
      </w:r>
    </w:p>
    <w:p w14:paraId="3158C8AA">
      <w:pPr>
        <w:pStyle w:val="7"/>
        <w:spacing w:line="360" w:lineRule="auto"/>
        <w:ind w:firstLine="420" w:firstLineChars="200"/>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val="en-US"/>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投标人必须保证投标文件所提供的全部资料真实可靠，并接受对其中任何资料进一步审查的要求。</w:t>
      </w:r>
    </w:p>
    <w:p w14:paraId="53AB174F">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（三）投标报价</w:t>
      </w:r>
    </w:p>
    <w:p w14:paraId="0F9AD9C0">
      <w:pPr>
        <w:pageBreakBefore w:val="0"/>
        <w:kinsoku/>
        <w:topLinePunct w:val="0"/>
        <w:bidi w:val="0"/>
        <w:snapToGrid/>
        <w:spacing w:line="360" w:lineRule="auto"/>
        <w:ind w:firstLine="420" w:firstLineChars="200"/>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1.投标报价应按招标文件中相关附件格式填写。</w:t>
      </w:r>
    </w:p>
    <w:p w14:paraId="7AD5BEDD">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招标人不接受任何选择报价，只允许一个报价。</w:t>
      </w:r>
    </w:p>
    <w:p w14:paraId="582462DF">
      <w:pPr>
        <w:pageBreakBefore w:val="0"/>
        <w:kinsoku/>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（四）投标文件的有效期</w:t>
      </w:r>
    </w:p>
    <w:p w14:paraId="27E272FE">
      <w:pPr>
        <w:pageBreakBefore w:val="0"/>
        <w:kinsoku/>
        <w:topLinePunct w:val="0"/>
        <w:bidi w:val="0"/>
        <w:snapToGrid/>
        <w:spacing w:line="360" w:lineRule="auto"/>
        <w:ind w:firstLine="420" w:firstLineChars="200"/>
        <w:rPr>
          <w:rFonts w:hint="eastAsia" w:ascii="宋体" w:hAnsi="宋体" w:eastAsia="宋体" w:cs="宋体"/>
          <w:b w:val="0"/>
          <w:bCs/>
          <w:color w:val="000000" w:themeColor="text1"/>
          <w:sz w:val="21"/>
          <w:szCs w:val="21"/>
          <w:highlight w:val="none"/>
          <w:u w:val="none"/>
          <w14:textFill>
            <w14:solidFill>
              <w14:schemeClr w14:val="tx1"/>
            </w14:solidFill>
          </w14:textFill>
        </w:rPr>
      </w:pPr>
      <w:r>
        <w:rPr>
          <w:rFonts w:hint="eastAsia" w:ascii="宋体" w:hAnsi="宋体" w:eastAsia="宋体" w:cs="宋体"/>
          <w:b w:val="0"/>
          <w:bCs/>
          <w:color w:val="000000" w:themeColor="text1"/>
          <w:sz w:val="21"/>
          <w:szCs w:val="21"/>
          <w:highlight w:val="none"/>
          <w:u w:val="none"/>
          <w:lang w:val="en-US" w:eastAsia="zh-CN"/>
          <w14:textFill>
            <w14:solidFill>
              <w14:schemeClr w14:val="tx1"/>
            </w14:solidFill>
          </w14:textFill>
        </w:rPr>
        <w:t>1</w:t>
      </w:r>
      <w:r>
        <w:rPr>
          <w:rFonts w:hint="eastAsia" w:ascii="宋体" w:hAnsi="宋体" w:eastAsia="宋体" w:cs="宋体"/>
          <w:b w:val="0"/>
          <w:bCs/>
          <w:color w:val="000000" w:themeColor="text1"/>
          <w:sz w:val="21"/>
          <w:szCs w:val="21"/>
          <w:highlight w:val="none"/>
          <w:u w:val="none"/>
          <w14:textFill>
            <w14:solidFill>
              <w14:schemeClr w14:val="tx1"/>
            </w14:solidFill>
          </w14:textFill>
        </w:rPr>
        <w:t>.投标文件有效期为自投标截止日起算90天。</w:t>
      </w:r>
    </w:p>
    <w:p w14:paraId="3F444471">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2.在特殊情况下，</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可与投标人协商延长投标书的有效期，这种要求和答复均以书面形式进行。</w:t>
      </w:r>
    </w:p>
    <w:p w14:paraId="51EEA34D">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3.投标人可拒绝接受延期要求，但不能修改投标文件。</w:t>
      </w:r>
    </w:p>
    <w:p w14:paraId="3416DC39">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4.中标单位的投标文件自开标之日起到项目履行完毕止均应保持有效。</w:t>
      </w:r>
    </w:p>
    <w:p w14:paraId="51E8F863">
      <w:pPr>
        <w:spacing w:line="360" w:lineRule="auto"/>
        <w:ind w:firstLine="420" w:firstLineChars="200"/>
        <w:rPr>
          <w:rStyle w:val="22"/>
          <w:rFonts w:ascii="宋体" w:cs="宋体"/>
          <w:b/>
          <w:color w:val="000000" w:themeColor="text1"/>
          <w:szCs w:val="21"/>
          <w:highlight w:val="none"/>
          <w:lang w:val="zh-CN"/>
          <w14:textFill>
            <w14:solidFill>
              <w14:schemeClr w14:val="tx1"/>
            </w14:solidFill>
          </w14:textFill>
        </w:rPr>
      </w:pPr>
      <w:r>
        <w:rPr>
          <w:rStyle w:val="22"/>
          <w:rFonts w:hint="eastAsia" w:ascii="宋体" w:hAnsi="宋体" w:cs="宋体"/>
          <w:b/>
          <w:color w:val="000000" w:themeColor="text1"/>
          <w:szCs w:val="21"/>
          <w:highlight w:val="none"/>
          <w:lang w:val="zh-CN"/>
          <w14:textFill>
            <w14:solidFill>
              <w14:schemeClr w14:val="tx1"/>
            </w14:solidFill>
          </w14:textFill>
        </w:rPr>
        <w:t>（五）投标文件的编制、签署、份数</w:t>
      </w:r>
    </w:p>
    <w:p w14:paraId="67B09E35">
      <w:pPr>
        <w:wordWrap w:val="0"/>
        <w:spacing w:line="360" w:lineRule="auto"/>
        <w:ind w:firstLine="420"/>
        <w:rPr>
          <w:rStyle w:val="22"/>
          <w:rFonts w:ascii="宋体" w:cs="宋体"/>
          <w:color w:val="000000" w:themeColor="text1"/>
          <w:szCs w:val="21"/>
          <w:highlight w:val="none"/>
          <w14:textFill>
            <w14:solidFill>
              <w14:schemeClr w14:val="tx1"/>
            </w14:solidFill>
          </w14:textFill>
        </w:rPr>
      </w:pPr>
      <w:r>
        <w:rPr>
          <w:rStyle w:val="22"/>
          <w:rFonts w:ascii="宋体" w:hAnsi="宋体" w:cs="宋体"/>
          <w:color w:val="000000" w:themeColor="text1"/>
          <w:szCs w:val="21"/>
          <w:highlight w:val="none"/>
          <w14:textFill>
            <w14:solidFill>
              <w14:schemeClr w14:val="tx1"/>
            </w14:solidFill>
          </w14:textFill>
        </w:rPr>
        <w:t>1.</w:t>
      </w:r>
      <w:r>
        <w:rPr>
          <w:rStyle w:val="22"/>
          <w:rFonts w:hint="eastAsia" w:ascii="宋体" w:hAnsi="宋体" w:cs="宋体"/>
          <w:color w:val="000000" w:themeColor="text1"/>
          <w:szCs w:val="21"/>
          <w:highlight w:val="none"/>
          <w14:textFill>
            <w14:solidFill>
              <w14:schemeClr w14:val="tx1"/>
            </w14:solidFill>
          </w14:textFill>
        </w:rPr>
        <w:t>投标文件应按浙江省公款竞争性存放网上招标平台</w:t>
      </w:r>
      <w:r>
        <w:rPr>
          <w:rStyle w:val="22"/>
          <w:rFonts w:ascii="宋体" w:hAnsi="宋体" w:cs="宋体"/>
          <w:color w:val="000000" w:themeColor="text1"/>
          <w:szCs w:val="21"/>
          <w:highlight w:val="none"/>
          <w14:textFill>
            <w14:solidFill>
              <w14:schemeClr w14:val="tx1"/>
            </w14:solidFill>
          </w14:textFill>
        </w:rPr>
        <w:t>-</w:t>
      </w:r>
      <w:r>
        <w:rPr>
          <w:rStyle w:val="22"/>
          <w:rFonts w:hint="eastAsia" w:ascii="宋体" w:hAnsi="宋体" w:cs="宋体"/>
          <w:color w:val="000000" w:themeColor="text1"/>
          <w:szCs w:val="21"/>
          <w:highlight w:val="none"/>
          <w14:textFill>
            <w14:solidFill>
              <w14:schemeClr w14:val="tx1"/>
            </w14:solidFill>
          </w14:textFill>
        </w:rPr>
        <w:t>服务中心</w:t>
      </w:r>
      <w:r>
        <w:rPr>
          <w:rStyle w:val="22"/>
          <w:rFonts w:hint="eastAsia" w:ascii="宋体" w:hAnsi="宋体" w:cs="宋体"/>
          <w:color w:val="000000" w:themeColor="text1"/>
          <w:szCs w:val="21"/>
          <w:highlight w:val="none"/>
          <w:lang w:val="en-US"/>
          <w14:textFill>
            <w14:solidFill>
              <w14:schemeClr w14:val="tx1"/>
            </w14:solidFill>
          </w14:textFill>
        </w:rPr>
        <w:t>-帮助文档-公款竞争性存放-操作流程</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"https://help.zcy.gov.cn/web/site_2/2018/12-28/2573.html）及本采购文件要求制作" </w:instrText>
      </w:r>
      <w:r>
        <w:rPr>
          <w:color w:val="000000" w:themeColor="text1"/>
          <w:highlight w:val="none"/>
          <w14:textFill>
            <w14:solidFill>
              <w14:schemeClr w14:val="tx1"/>
            </w14:solidFill>
          </w14:textFill>
        </w:rPr>
        <w:fldChar w:fldCharType="separate"/>
      </w:r>
      <w:r>
        <w:rPr>
          <w:rStyle w:val="22"/>
          <w:rFonts w:hint="eastAsia" w:ascii="宋体" w:hAnsi="宋体" w:cs="宋体"/>
          <w:color w:val="000000" w:themeColor="text1"/>
          <w:szCs w:val="21"/>
          <w:highlight w:val="none"/>
          <w14:textFill>
            <w14:solidFill>
              <w14:schemeClr w14:val="tx1"/>
            </w14:solidFill>
          </w14:textFill>
        </w:rPr>
        <w:t>及本招标文件要求制作</w:t>
      </w:r>
      <w:r>
        <w:rPr>
          <w:rFonts w:hint="eastAsia" w:ascii="宋体" w:hAnsi="宋体" w:cs="宋体"/>
          <w:color w:val="000000" w:themeColor="text1"/>
          <w:szCs w:val="21"/>
          <w:highlight w:val="none"/>
          <w14:textFill>
            <w14:solidFill>
              <w14:schemeClr w14:val="tx1"/>
            </w14:solidFill>
          </w14:textFill>
        </w:rPr>
        <w:fldChar w:fldCharType="end"/>
      </w:r>
      <w:r>
        <w:rPr>
          <w:rStyle w:val="22"/>
          <w:rFonts w:hint="eastAsia" w:ascii="宋体" w:hAnsi="宋体" w:cs="宋体"/>
          <w:color w:val="000000" w:themeColor="text1"/>
          <w:szCs w:val="21"/>
          <w:highlight w:val="none"/>
          <w14:textFill>
            <w14:solidFill>
              <w14:schemeClr w14:val="tx1"/>
            </w14:solidFill>
          </w14:textFill>
        </w:rPr>
        <w:t>。</w:t>
      </w:r>
    </w:p>
    <w:p w14:paraId="1F0EEB9F">
      <w:pPr>
        <w:spacing w:line="360" w:lineRule="auto"/>
        <w:ind w:firstLine="420"/>
        <w:rPr>
          <w:rStyle w:val="22"/>
          <w:rFonts w:ascii="宋体" w:cs="宋体"/>
          <w:color w:val="000000" w:themeColor="text1"/>
          <w:szCs w:val="21"/>
          <w:highlight w:val="none"/>
          <w14:textFill>
            <w14:solidFill>
              <w14:schemeClr w14:val="tx1"/>
            </w14:solidFill>
          </w14:textFill>
        </w:rPr>
      </w:pPr>
      <w:r>
        <w:rPr>
          <w:rStyle w:val="22"/>
          <w:rFonts w:ascii="宋体" w:hAnsi="宋体" w:cs="宋体"/>
          <w:color w:val="000000" w:themeColor="text1"/>
          <w:szCs w:val="21"/>
          <w:highlight w:val="none"/>
          <w14:textFill>
            <w14:solidFill>
              <w14:schemeClr w14:val="tx1"/>
            </w14:solidFill>
          </w14:textFill>
        </w:rPr>
        <w:t>2.</w:t>
      </w:r>
      <w:r>
        <w:rPr>
          <w:rStyle w:val="22"/>
          <w:rFonts w:hint="eastAsia" w:ascii="宋体" w:hAnsi="宋体" w:cs="宋体"/>
          <w:color w:val="000000" w:themeColor="text1"/>
          <w:szCs w:val="21"/>
          <w:highlight w:val="none"/>
          <w14:textFill>
            <w14:solidFill>
              <w14:schemeClr w14:val="tx1"/>
            </w14:solidFill>
          </w14:textFill>
        </w:rPr>
        <w:t>签</w:t>
      </w:r>
      <w:r>
        <w:rPr>
          <w:rStyle w:val="22"/>
          <w:rFonts w:hint="eastAsia" w:ascii="宋体" w:hAnsi="宋体" w:cs="宋体"/>
          <w:color w:val="000000" w:themeColor="text1"/>
          <w:szCs w:val="21"/>
          <w:highlight w:val="none"/>
          <w:lang w:val="zh-CN"/>
          <w14:textFill>
            <w14:solidFill>
              <w14:schemeClr w14:val="tx1"/>
            </w14:solidFill>
          </w14:textFill>
        </w:rPr>
        <w:t>署</w:t>
      </w:r>
      <w:r>
        <w:rPr>
          <w:rStyle w:val="22"/>
          <w:rFonts w:hint="eastAsia" w:ascii="宋体" w:hAnsi="宋体" w:cs="宋体"/>
          <w:color w:val="000000" w:themeColor="text1"/>
          <w:szCs w:val="21"/>
          <w:highlight w:val="none"/>
          <w14:textFill>
            <w14:solidFill>
              <w14:schemeClr w14:val="tx1"/>
            </w14:solidFill>
          </w14:textFill>
        </w:rPr>
        <w:t>：投标文件中所有要求加盖公章的位置均需加盖公章。</w:t>
      </w:r>
    </w:p>
    <w:p w14:paraId="16F6CC90">
      <w:pPr>
        <w:spacing w:line="360" w:lineRule="auto"/>
        <w:ind w:firstLine="420"/>
        <w:rPr>
          <w:rStyle w:val="22"/>
          <w:rFonts w:ascii="宋体" w:cs="宋体"/>
          <w:color w:val="000000" w:themeColor="text1"/>
          <w:szCs w:val="21"/>
          <w:highlight w:val="none"/>
          <w14:textFill>
            <w14:solidFill>
              <w14:schemeClr w14:val="tx1"/>
            </w14:solidFill>
          </w14:textFill>
        </w:rPr>
      </w:pPr>
      <w:r>
        <w:rPr>
          <w:rStyle w:val="22"/>
          <w:rFonts w:ascii="宋体" w:hAnsi="宋体" w:cs="宋体"/>
          <w:color w:val="000000" w:themeColor="text1"/>
          <w:szCs w:val="21"/>
          <w:highlight w:val="none"/>
          <w14:textFill>
            <w14:solidFill>
              <w14:schemeClr w14:val="tx1"/>
            </w14:solidFill>
          </w14:textFill>
        </w:rPr>
        <w:t>3.</w:t>
      </w:r>
      <w:r>
        <w:rPr>
          <w:rStyle w:val="22"/>
          <w:rFonts w:hint="eastAsia" w:ascii="宋体" w:hAnsi="宋体" w:cs="宋体"/>
          <w:color w:val="000000" w:themeColor="text1"/>
          <w:szCs w:val="21"/>
          <w:highlight w:val="none"/>
          <w14:textFill>
            <w14:solidFill>
              <w14:schemeClr w14:val="tx1"/>
            </w14:solidFill>
          </w14:textFill>
        </w:rPr>
        <w:t>份数：</w:t>
      </w:r>
    </w:p>
    <w:p w14:paraId="5847EDC5">
      <w:pPr>
        <w:spacing w:line="360" w:lineRule="auto"/>
        <w:ind w:firstLine="420"/>
        <w:rPr>
          <w:rStyle w:val="22"/>
          <w:rFonts w:ascii="宋体" w:cs="宋体"/>
          <w:color w:val="000000" w:themeColor="text1"/>
          <w:szCs w:val="21"/>
          <w:highlight w:val="none"/>
          <w:lang w:val="zh-CN"/>
          <w14:textFill>
            <w14:solidFill>
              <w14:schemeClr w14:val="tx1"/>
            </w14:solidFill>
          </w14:textFill>
        </w:rPr>
      </w:pPr>
      <w:r>
        <w:rPr>
          <w:rStyle w:val="22"/>
          <w:rFonts w:hint="eastAsia" w:ascii="宋体" w:hAnsi="宋体" w:cs="宋体"/>
          <w:color w:val="000000" w:themeColor="text1"/>
          <w:szCs w:val="21"/>
          <w:highlight w:val="none"/>
          <w14:textFill>
            <w14:solidFill>
              <w14:schemeClr w14:val="tx1"/>
            </w14:solidFill>
          </w14:textFill>
        </w:rPr>
        <w:t>（</w:t>
      </w:r>
      <w:r>
        <w:rPr>
          <w:rStyle w:val="22"/>
          <w:rFonts w:ascii="宋体" w:hAnsi="宋体" w:cs="宋体"/>
          <w:color w:val="000000" w:themeColor="text1"/>
          <w:szCs w:val="21"/>
          <w:highlight w:val="none"/>
          <w14:textFill>
            <w14:solidFill>
              <w14:schemeClr w14:val="tx1"/>
            </w14:solidFill>
          </w14:textFill>
        </w:rPr>
        <w:t>1</w:t>
      </w:r>
      <w:r>
        <w:rPr>
          <w:rStyle w:val="22"/>
          <w:rFonts w:hint="eastAsia" w:ascii="宋体" w:hAnsi="宋体" w:cs="宋体"/>
          <w:color w:val="000000" w:themeColor="text1"/>
          <w:szCs w:val="21"/>
          <w:highlight w:val="none"/>
          <w14:textFill>
            <w14:solidFill>
              <w14:schemeClr w14:val="tx1"/>
            </w14:solidFill>
          </w14:textFill>
        </w:rPr>
        <w:t>）</w:t>
      </w:r>
      <w:r>
        <w:rPr>
          <w:rStyle w:val="22"/>
          <w:rFonts w:hint="eastAsia" w:ascii="宋体" w:hAnsi="宋体" w:cs="宋体"/>
          <w:color w:val="000000" w:themeColor="text1"/>
          <w:szCs w:val="21"/>
          <w:highlight w:val="none"/>
          <w:lang w:val="zh-CN"/>
          <w14:textFill>
            <w14:solidFill>
              <w14:schemeClr w14:val="tx1"/>
            </w14:solidFill>
          </w14:textFill>
        </w:rPr>
        <w:t>“电子投标文件”：在线上传，递交一份。</w:t>
      </w:r>
    </w:p>
    <w:p w14:paraId="65BDF108">
      <w:pPr>
        <w:spacing w:line="360" w:lineRule="auto"/>
        <w:ind w:firstLine="420"/>
        <w:rPr>
          <w:rStyle w:val="22"/>
          <w:rFonts w:ascii="宋体" w:cs="宋体"/>
          <w:b/>
          <w:bCs/>
          <w:color w:val="000000" w:themeColor="text1"/>
          <w:szCs w:val="21"/>
          <w:highlight w:val="none"/>
          <w:lang w:val="zh-CN"/>
          <w14:textFill>
            <w14:solidFill>
              <w14:schemeClr w14:val="tx1"/>
            </w14:solidFill>
          </w14:textFill>
        </w:rPr>
      </w:pPr>
      <w:r>
        <w:rPr>
          <w:rStyle w:val="22"/>
          <w:rFonts w:hint="eastAsia" w:ascii="宋体" w:hAnsi="宋体" w:cs="宋体"/>
          <w:color w:val="000000" w:themeColor="text1"/>
          <w:szCs w:val="21"/>
          <w:highlight w:val="none"/>
          <w:lang w:val="zh-CN"/>
          <w14:textFill>
            <w14:solidFill>
              <w14:schemeClr w14:val="tx1"/>
            </w14:solidFill>
          </w14:textFill>
        </w:rPr>
        <w:t>（</w:t>
      </w:r>
      <w:r>
        <w:rPr>
          <w:rStyle w:val="22"/>
          <w:rFonts w:ascii="宋体" w:hAnsi="宋体" w:cs="宋体"/>
          <w:color w:val="000000" w:themeColor="text1"/>
          <w:szCs w:val="21"/>
          <w:highlight w:val="none"/>
          <w:lang w:val="zh-CN"/>
          <w14:textFill>
            <w14:solidFill>
              <w14:schemeClr w14:val="tx1"/>
            </w14:solidFill>
          </w14:textFill>
        </w:rPr>
        <w:t>2</w:t>
      </w:r>
      <w:r>
        <w:rPr>
          <w:rStyle w:val="22"/>
          <w:rFonts w:hint="eastAsia" w:ascii="宋体" w:hAnsi="宋体" w:cs="宋体"/>
          <w:color w:val="000000" w:themeColor="text1"/>
          <w:szCs w:val="21"/>
          <w:highlight w:val="none"/>
          <w:lang w:val="zh-CN"/>
          <w14:textFill>
            <w14:solidFill>
              <w14:schemeClr w14:val="tx1"/>
            </w14:solidFill>
          </w14:textFill>
        </w:rPr>
        <w:t>）</w:t>
      </w:r>
      <w:r>
        <w:rPr>
          <w:rStyle w:val="22"/>
          <w:rFonts w:hint="eastAsia" w:ascii="宋体" w:hAnsi="宋体" w:cs="宋体"/>
          <w:b/>
          <w:bCs/>
          <w:color w:val="000000" w:themeColor="text1"/>
          <w:szCs w:val="21"/>
          <w:highlight w:val="none"/>
          <w:lang w:val="zh-CN"/>
          <w14:textFill>
            <w14:solidFill>
              <w14:schemeClr w14:val="tx1"/>
            </w14:solidFill>
          </w14:textFill>
        </w:rPr>
        <w:t>中标通知书发出后，中标人应当向招标代理机构提供纸质投标文件一式</w:t>
      </w:r>
      <w:r>
        <w:rPr>
          <w:rStyle w:val="22"/>
          <w:rFonts w:hint="eastAsia" w:ascii="宋体" w:hAnsi="宋体" w:cs="宋体"/>
          <w:b/>
          <w:bCs/>
          <w:color w:val="000000" w:themeColor="text1"/>
          <w:szCs w:val="21"/>
          <w:highlight w:val="none"/>
          <w:lang w:val="en-US"/>
          <w14:textFill>
            <w14:solidFill>
              <w14:schemeClr w14:val="tx1"/>
            </w14:solidFill>
          </w14:textFill>
        </w:rPr>
        <w:t>四</w:t>
      </w:r>
      <w:r>
        <w:rPr>
          <w:rStyle w:val="22"/>
          <w:rFonts w:hint="eastAsia" w:ascii="宋体" w:hAnsi="宋体" w:cs="宋体"/>
          <w:b/>
          <w:bCs/>
          <w:color w:val="000000" w:themeColor="text1"/>
          <w:szCs w:val="21"/>
          <w:highlight w:val="none"/>
          <w:lang w:val="zh-CN"/>
          <w14:textFill>
            <w14:solidFill>
              <w14:schemeClr w14:val="tx1"/>
            </w14:solidFill>
          </w14:textFill>
        </w:rPr>
        <w:t>份，用于招标项目文件存档。</w:t>
      </w:r>
    </w:p>
    <w:p w14:paraId="788DD46D">
      <w:pPr>
        <w:spacing w:line="360" w:lineRule="auto"/>
        <w:ind w:firstLine="420" w:firstLineChars="200"/>
        <w:rPr>
          <w:rStyle w:val="22"/>
          <w:rFonts w:hint="eastAsia" w:ascii="宋体" w:hAnsi="宋体" w:cs="宋体"/>
          <w:b/>
          <w:color w:val="000000" w:themeColor="text1"/>
          <w:szCs w:val="21"/>
          <w:highlight w:val="none"/>
          <w:lang w:val="zh-CN"/>
          <w14:textFill>
            <w14:solidFill>
              <w14:schemeClr w14:val="tx1"/>
            </w14:solidFill>
          </w14:textFill>
        </w:rPr>
      </w:pPr>
      <w:r>
        <w:rPr>
          <w:rStyle w:val="22"/>
          <w:rFonts w:hint="eastAsia" w:ascii="宋体" w:hAnsi="宋体" w:cs="宋体"/>
          <w:b/>
          <w:color w:val="000000" w:themeColor="text1"/>
          <w:szCs w:val="21"/>
          <w:highlight w:val="none"/>
          <w:lang w:val="zh-CN"/>
          <w14:textFill>
            <w14:solidFill>
              <w14:schemeClr w14:val="tx1"/>
            </w14:solidFill>
          </w14:textFill>
        </w:rPr>
        <w:t>（六）投标文件递交、修改（补充）和撤回</w:t>
      </w:r>
    </w:p>
    <w:p w14:paraId="13ACF66F">
      <w:pPr>
        <w:widowControl/>
        <w:spacing w:line="360" w:lineRule="auto"/>
        <w:ind w:firstLine="411" w:firstLineChars="196"/>
        <w:rPr>
          <w:rStyle w:val="22"/>
          <w:rFonts w:ascii="宋体" w:cs="宋体"/>
          <w:b/>
          <w:bCs/>
          <w:color w:val="000000" w:themeColor="text1"/>
          <w:szCs w:val="21"/>
          <w:highlight w:val="none"/>
          <w14:textFill>
            <w14:solidFill>
              <w14:schemeClr w14:val="tx1"/>
            </w14:solidFill>
          </w14:textFill>
        </w:rPr>
      </w:pPr>
      <w:r>
        <w:rPr>
          <w:rStyle w:val="22"/>
          <w:rFonts w:ascii="宋体" w:hAnsi="宋体" w:cs="宋体"/>
          <w:b/>
          <w:bCs/>
          <w:color w:val="000000" w:themeColor="text1"/>
          <w:szCs w:val="21"/>
          <w:highlight w:val="none"/>
          <w14:textFill>
            <w14:solidFill>
              <w14:schemeClr w14:val="tx1"/>
            </w14:solidFill>
          </w14:textFill>
        </w:rPr>
        <w:t>1.</w:t>
      </w:r>
      <w:r>
        <w:rPr>
          <w:rStyle w:val="22"/>
          <w:rFonts w:hint="eastAsia" w:ascii="宋体" w:hAnsi="宋体" w:cs="宋体"/>
          <w:b/>
          <w:bCs/>
          <w:color w:val="000000" w:themeColor="text1"/>
          <w:szCs w:val="21"/>
          <w:highlight w:val="none"/>
          <w14:textFill>
            <w14:solidFill>
              <w14:schemeClr w14:val="tx1"/>
            </w14:solidFill>
          </w14:textFill>
        </w:rPr>
        <w:t>投标文件</w:t>
      </w:r>
      <w:r>
        <w:rPr>
          <w:rFonts w:hint="eastAsia" w:ascii="宋体" w:hAnsi="宋体" w:cs="宋体"/>
          <w:b/>
          <w:color w:val="000000" w:themeColor="text1"/>
          <w:szCs w:val="21"/>
          <w:highlight w:val="none"/>
          <w14:textFill>
            <w14:solidFill>
              <w14:schemeClr w14:val="tx1"/>
            </w14:solidFill>
          </w14:textFill>
        </w:rPr>
        <w:t>递交（上传）</w:t>
      </w:r>
    </w:p>
    <w:p w14:paraId="62D87672">
      <w:pPr>
        <w:widowControl/>
        <w:spacing w:line="360" w:lineRule="auto"/>
        <w:ind w:firstLine="420"/>
        <w:rPr>
          <w:rFonts w:asci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1.1</w:t>
      </w:r>
      <w:r>
        <w:rPr>
          <w:rFonts w:hint="eastAsia" w:ascii="宋体" w:hAnsi="宋体" w:cs="宋体"/>
          <w:b/>
          <w:bCs/>
          <w:color w:val="000000" w:themeColor="text1"/>
          <w:kern w:val="0"/>
          <w:szCs w:val="21"/>
          <w:highlight w:val="none"/>
          <w:lang w:eastAsia="zh-CN"/>
          <w14:textFill>
            <w14:solidFill>
              <w14:schemeClr w14:val="tx1"/>
            </w14:solidFill>
          </w14:textFill>
        </w:rPr>
        <w:t>电子投标文件</w:t>
      </w:r>
      <w:r>
        <w:rPr>
          <w:rFonts w:hint="eastAsia" w:ascii="宋体" w:hAnsi="宋体" w:cs="宋体"/>
          <w:b/>
          <w:bCs/>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投标人应当于投标文件提交截止时间前</w:t>
      </w:r>
      <w:r>
        <w:rPr>
          <w:rFonts w:hint="eastAsia" w:ascii="宋体" w:hAnsi="宋体" w:cs="宋体"/>
          <w:color w:val="000000" w:themeColor="text1"/>
          <w:szCs w:val="21"/>
          <w:highlight w:val="none"/>
          <w14:textFill>
            <w14:solidFill>
              <w14:schemeClr w14:val="tx1"/>
            </w14:solidFill>
          </w14:textFill>
        </w:rPr>
        <w:t>通过“政采云电子投标客户端”上传至</w:t>
      </w:r>
      <w:r>
        <w:rPr>
          <w:rFonts w:hint="eastAsia" w:ascii="宋体" w:hAnsi="宋体" w:cs="宋体"/>
          <w:color w:val="000000" w:themeColor="text1"/>
          <w:szCs w:val="21"/>
          <w:highlight w:val="none"/>
          <w:lang w:eastAsia="zh-CN"/>
          <w14:textFill>
            <w14:solidFill>
              <w14:schemeClr w14:val="tx1"/>
            </w14:solidFill>
          </w14:textFill>
        </w:rPr>
        <w:t>浙江省公款竞争性存放网上招标平台</w:t>
      </w:r>
      <w:r>
        <w:rPr>
          <w:rFonts w:hint="eastAsia" w:ascii="宋体" w:hAnsi="宋体" w:cs="宋体"/>
          <w:color w:val="000000" w:themeColor="text1"/>
          <w:kern w:val="0"/>
          <w:szCs w:val="21"/>
          <w:highlight w:val="none"/>
          <w14:textFill>
            <w14:solidFill>
              <w14:schemeClr w14:val="tx1"/>
            </w14:solidFill>
          </w14:textFill>
        </w:rPr>
        <w:t>上</w:t>
      </w:r>
      <w:r>
        <w:rPr>
          <w:rFonts w:hint="eastAsia" w:ascii="宋体" w:hAnsi="宋体" w:cs="宋体"/>
          <w:b/>
          <w:bCs/>
          <w:color w:val="000000" w:themeColor="text1"/>
          <w:kern w:val="0"/>
          <w:szCs w:val="21"/>
          <w:highlight w:val="none"/>
          <w14:textFill>
            <w14:solidFill>
              <w14:schemeClr w14:val="tx1"/>
            </w14:solidFill>
          </w14:textFill>
        </w:rPr>
        <w:t>。（逾期上传的投标文件将被拒收）</w:t>
      </w:r>
    </w:p>
    <w:p w14:paraId="3F4EC776">
      <w:pPr>
        <w:spacing w:line="360" w:lineRule="auto"/>
        <w:ind w:firstLine="420"/>
        <w:rPr>
          <w:rFonts w:ascii="宋体" w:cs="宋体"/>
          <w:b w:val="0"/>
          <w:bCs w:val="0"/>
          <w:color w:val="000000" w:themeColor="text1"/>
          <w:szCs w:val="21"/>
          <w:highlight w:val="none"/>
          <w:lang w:val="zh-CN"/>
          <w14:textFill>
            <w14:solidFill>
              <w14:schemeClr w14:val="tx1"/>
            </w14:solidFill>
          </w14:textFill>
        </w:rPr>
      </w:pPr>
      <w:r>
        <w:rPr>
          <w:rFonts w:hint="eastAsia" w:ascii="宋体" w:hAnsi="宋体" w:cs="宋体"/>
          <w:b w:val="0"/>
          <w:bCs w:val="0"/>
          <w:color w:val="000000" w:themeColor="text1"/>
          <w:szCs w:val="21"/>
          <w:highlight w:val="none"/>
          <w:lang w:val="en-US" w:eastAsia="zh-CN"/>
          <w14:textFill>
            <w14:solidFill>
              <w14:schemeClr w14:val="tx1"/>
            </w14:solidFill>
          </w14:textFill>
        </w:rPr>
        <w:t>1.2</w:t>
      </w:r>
      <w:r>
        <w:rPr>
          <w:rFonts w:hint="eastAsia" w:ascii="宋体" w:hAnsi="宋体" w:cs="宋体"/>
          <w:b w:val="0"/>
          <w:bCs w:val="0"/>
          <w:color w:val="000000" w:themeColor="text1"/>
          <w:szCs w:val="21"/>
          <w:highlight w:val="none"/>
          <w:lang w:val="zh-CN"/>
          <w14:textFill>
            <w14:solidFill>
              <w14:schemeClr w14:val="tx1"/>
            </w14:solidFill>
          </w14:textFill>
        </w:rPr>
        <w:t>本次招标活动采用电子交易，实行网上交易（非现场方式实施）。投标人代表无需到达现场，但需保证开标、评审过程中招标代理机构能够随时与其代表人取得联系，直至评审结束。</w:t>
      </w:r>
    </w:p>
    <w:p w14:paraId="2D4EF1CC">
      <w:pPr>
        <w:spacing w:line="360" w:lineRule="auto"/>
        <w:ind w:firstLine="420"/>
        <w:rPr>
          <w:rStyle w:val="22"/>
          <w:rFonts w:ascii="宋体" w:cs="宋体"/>
          <w:color w:val="000000" w:themeColor="text1"/>
          <w:szCs w:val="21"/>
          <w:highlight w:val="none"/>
          <w14:textFill>
            <w14:solidFill>
              <w14:schemeClr w14:val="tx1"/>
            </w14:solidFill>
          </w14:textFill>
        </w:rPr>
      </w:pPr>
      <w:r>
        <w:rPr>
          <w:rStyle w:val="22"/>
          <w:rFonts w:ascii="宋体" w:hAnsi="宋体" w:cs="宋体"/>
          <w:color w:val="000000" w:themeColor="text1"/>
          <w:szCs w:val="21"/>
          <w:highlight w:val="none"/>
          <w14:textFill>
            <w14:solidFill>
              <w14:schemeClr w14:val="tx1"/>
            </w14:solidFill>
          </w14:textFill>
        </w:rPr>
        <w:t>2.</w:t>
      </w:r>
      <w:r>
        <w:rPr>
          <w:rStyle w:val="22"/>
          <w:rFonts w:hint="eastAsia" w:ascii="宋体" w:hAnsi="宋体" w:cs="宋体"/>
          <w:color w:val="000000" w:themeColor="text1"/>
          <w:szCs w:val="21"/>
          <w:highlight w:val="none"/>
          <w14:textFill>
            <w14:solidFill>
              <w14:schemeClr w14:val="tx1"/>
            </w14:solidFill>
          </w14:textFill>
        </w:rPr>
        <w:t>修改（补充）和撤回：</w:t>
      </w:r>
    </w:p>
    <w:p w14:paraId="1B43D9BE">
      <w:pPr>
        <w:pageBreakBefore w:val="0"/>
        <w:kinsoku/>
        <w:topLinePunct w:val="0"/>
        <w:bidi w:val="0"/>
        <w:snapToGrid/>
        <w:spacing w:line="360" w:lineRule="auto"/>
        <w:ind w:firstLine="420" w:firstLineChars="200"/>
        <w:rPr>
          <w:rStyle w:val="22"/>
          <w:rFonts w:ascii="宋体" w:cs="宋体"/>
          <w:color w:val="000000" w:themeColor="text1"/>
          <w:szCs w:val="21"/>
          <w:highlight w:val="none"/>
          <w14:textFill>
            <w14:solidFill>
              <w14:schemeClr w14:val="tx1"/>
            </w14:solidFill>
          </w14:textFill>
        </w:rPr>
      </w:pPr>
      <w:r>
        <w:rPr>
          <w:rStyle w:val="22"/>
          <w:rFonts w:ascii="宋体" w:hAnsi="宋体" w:cs="宋体"/>
          <w:color w:val="000000" w:themeColor="text1"/>
          <w:szCs w:val="21"/>
          <w:highlight w:val="none"/>
          <w14:textFill>
            <w14:solidFill>
              <w14:schemeClr w14:val="tx1"/>
            </w14:solidFill>
          </w14:textFill>
        </w:rPr>
        <w:t>2.1</w:t>
      </w:r>
      <w:r>
        <w:rPr>
          <w:rStyle w:val="22"/>
          <w:rFonts w:hint="eastAsia" w:ascii="宋体" w:hAnsi="宋体" w:cs="宋体"/>
          <w:color w:val="000000" w:themeColor="text1"/>
          <w:szCs w:val="21"/>
          <w:highlight w:val="none"/>
          <w14:textFill>
            <w14:solidFill>
              <w14:schemeClr w14:val="tx1"/>
            </w14:solidFill>
          </w14:textFill>
        </w:rPr>
        <w:t>投标截止时间前可以补充、修改或撤回投标文件。补充或者修改投标文件的，应当先行撤回原文件，补充、修改后重新提交。投标截止时间前未完成提交的，视为撤回投标文件。</w:t>
      </w:r>
    </w:p>
    <w:p w14:paraId="15444293">
      <w:pPr>
        <w:pageBreakBefore w:val="0"/>
        <w:kinsoku/>
        <w:topLinePunct w:val="0"/>
        <w:bidi w:val="0"/>
        <w:snapToGrid/>
        <w:spacing w:line="360" w:lineRule="auto"/>
        <w:ind w:firstLine="420" w:firstLineChars="200"/>
        <w:rPr>
          <w:rFonts w:ascii="宋体" w:cs="宋体"/>
          <w:color w:val="000000" w:themeColor="text1"/>
          <w:szCs w:val="21"/>
          <w:highlight w:val="none"/>
          <w14:textFill>
            <w14:solidFill>
              <w14:schemeClr w14:val="tx1"/>
            </w14:solidFill>
          </w14:textFill>
        </w:rPr>
      </w:pPr>
      <w:r>
        <w:rPr>
          <w:rStyle w:val="22"/>
          <w:rFonts w:ascii="宋体" w:hAnsi="宋体" w:cs="宋体"/>
          <w:color w:val="000000" w:themeColor="text1"/>
          <w:szCs w:val="21"/>
          <w:highlight w:val="none"/>
          <w14:textFill>
            <w14:solidFill>
              <w14:schemeClr w14:val="tx1"/>
            </w14:solidFill>
          </w14:textFill>
        </w:rPr>
        <w:t>2.2</w:t>
      </w:r>
      <w:r>
        <w:rPr>
          <w:rStyle w:val="22"/>
          <w:rFonts w:hint="eastAsia" w:ascii="宋体" w:hAnsi="宋体" w:cs="宋体"/>
          <w:color w:val="000000" w:themeColor="text1"/>
          <w:szCs w:val="21"/>
          <w:highlight w:val="none"/>
          <w14:textFill>
            <w14:solidFill>
              <w14:schemeClr w14:val="tx1"/>
            </w14:solidFill>
          </w14:textFill>
        </w:rPr>
        <w:t>投标截止时间后，投标人不得修改（补充）或撤回其投标文件。</w:t>
      </w:r>
    </w:p>
    <w:p w14:paraId="4B498811">
      <w:pPr>
        <w:pageBreakBefore w:val="0"/>
        <w:kinsoku/>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（七）</w:t>
      </w:r>
      <w:bookmarkStart w:id="46" w:name="_Toc527272918"/>
      <w:r>
        <w:rPr>
          <w:rFonts w:hint="eastAsia" w:ascii="宋体" w:hAnsi="宋体" w:eastAsia="宋体" w:cs="宋体"/>
          <w:b/>
          <w:color w:val="000000" w:themeColor="text1"/>
          <w:sz w:val="21"/>
          <w:szCs w:val="21"/>
          <w:highlight w:val="none"/>
          <w:lang w:val="zh-CN"/>
          <w14:textFill>
            <w14:solidFill>
              <w14:schemeClr w14:val="tx1"/>
            </w14:solidFill>
          </w14:textFill>
        </w:rPr>
        <w:t xml:space="preserve"> 开标程序</w:t>
      </w:r>
    </w:p>
    <w:p w14:paraId="57AD5C5B">
      <w:pPr>
        <w:spacing w:line="360" w:lineRule="auto"/>
        <w:ind w:firstLine="420"/>
        <w:rPr>
          <w:rFonts w:ascii="宋体" w:cs="宋体"/>
          <w:color w:val="000000" w:themeColor="text1"/>
          <w:szCs w:val="21"/>
          <w:highlight w:val="none"/>
          <w14:textFill>
            <w14:solidFill>
              <w14:schemeClr w14:val="tx1"/>
            </w14:solidFill>
          </w14:textFill>
        </w:rPr>
      </w:pPr>
      <w:bookmarkStart w:id="47" w:name="_Toc1469"/>
      <w:bookmarkStart w:id="48" w:name="_Toc25627"/>
      <w:bookmarkStart w:id="49" w:name="_Toc32499"/>
      <w:bookmarkStart w:id="50" w:name="_Toc26334"/>
      <w:bookmarkStart w:id="51" w:name="_Toc23254"/>
      <w:bookmarkStart w:id="52" w:name="_Toc15890"/>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eastAsia="zh-CN"/>
          <w14:textFill>
            <w14:solidFill>
              <w14:schemeClr w14:val="tx1"/>
            </w14:solidFill>
          </w14:textFill>
        </w:rPr>
        <w:t>招标代理机构开启投标文件，</w:t>
      </w:r>
      <w:r>
        <w:rPr>
          <w:rFonts w:hint="eastAsia" w:ascii="宋体" w:hAnsi="宋体" w:cs="宋体"/>
          <w:color w:val="000000" w:themeColor="text1"/>
          <w:szCs w:val="21"/>
          <w:highlight w:val="none"/>
          <w14:textFill>
            <w14:solidFill>
              <w14:schemeClr w14:val="tx1"/>
            </w14:solidFill>
          </w14:textFill>
        </w:rPr>
        <w:t>评标委员会对</w:t>
      </w:r>
      <w:r>
        <w:rPr>
          <w:rFonts w:hint="eastAsia" w:ascii="宋体" w:hAnsi="宋体" w:cs="宋体"/>
          <w:color w:val="000000" w:themeColor="text1"/>
          <w:szCs w:val="21"/>
          <w:highlight w:val="none"/>
          <w:lang w:eastAsia="zh-CN"/>
          <w14:textFill>
            <w14:solidFill>
              <w14:schemeClr w14:val="tx1"/>
            </w14:solidFill>
          </w14:textFill>
        </w:rPr>
        <w:t>投标文件</w:t>
      </w:r>
      <w:r>
        <w:rPr>
          <w:rFonts w:hint="eastAsia" w:ascii="宋体" w:hAnsi="宋体" w:cs="宋体"/>
          <w:color w:val="000000" w:themeColor="text1"/>
          <w:szCs w:val="21"/>
          <w:highlight w:val="none"/>
          <w14:textFill>
            <w14:solidFill>
              <w14:schemeClr w14:val="tx1"/>
            </w14:solidFill>
          </w14:textFill>
        </w:rPr>
        <w:t>进行评审，评审内容包括符合性审查，技术、商务评估及比较等。</w:t>
      </w:r>
    </w:p>
    <w:p w14:paraId="6D1841AD">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在系统上公开评审结果，如对</w:t>
      </w:r>
      <w:r>
        <w:rPr>
          <w:rFonts w:hint="eastAsia" w:ascii="宋体" w:hAnsi="宋体" w:cs="宋体"/>
          <w:color w:val="000000" w:themeColor="text1"/>
          <w:szCs w:val="21"/>
          <w:highlight w:val="none"/>
          <w:lang w:eastAsia="zh-CN"/>
          <w14:textFill>
            <w14:solidFill>
              <w14:schemeClr w14:val="tx1"/>
            </w14:solidFill>
          </w14:textFill>
        </w:rPr>
        <w:t>评</w:t>
      </w:r>
      <w:r>
        <w:rPr>
          <w:rFonts w:hint="eastAsia" w:ascii="宋体" w:hAnsi="宋体" w:cs="宋体"/>
          <w:color w:val="000000" w:themeColor="text1"/>
          <w:szCs w:val="21"/>
          <w:highlight w:val="none"/>
          <w:lang w:val="en-US" w:eastAsia="zh-CN"/>
          <w14:textFill>
            <w14:solidFill>
              <w14:schemeClr w14:val="tx1"/>
            </w14:solidFill>
          </w14:textFill>
        </w:rPr>
        <w:t>审</w:t>
      </w:r>
      <w:r>
        <w:rPr>
          <w:rFonts w:hint="eastAsia" w:ascii="宋体" w:hAnsi="宋体" w:cs="宋体"/>
          <w:color w:val="000000" w:themeColor="text1"/>
          <w:szCs w:val="21"/>
          <w:highlight w:val="none"/>
          <w14:textFill>
            <w14:solidFill>
              <w14:schemeClr w14:val="tx1"/>
            </w14:solidFill>
          </w14:textFill>
        </w:rPr>
        <w:t>结果有异议的，投标人应当在结果公布后</w:t>
      </w:r>
      <w:r>
        <w:rPr>
          <w:rFonts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分钟内提出；相关异议（如有）将由评标委员会作澄清；</w:t>
      </w:r>
    </w:p>
    <w:p w14:paraId="2ED4C2C1">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评标委员会编写并签署评标报告，评标报告应当根据综合得分由高到低列明投标人排名情况，推荐中标候选人；</w:t>
      </w:r>
    </w:p>
    <w:p w14:paraId="73052C4E">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招标代理机构</w:t>
      </w:r>
      <w:r>
        <w:rPr>
          <w:rFonts w:hint="eastAsia" w:ascii="宋体" w:hAnsi="宋体" w:cs="宋体"/>
          <w:color w:val="000000" w:themeColor="text1"/>
          <w:szCs w:val="21"/>
          <w:highlight w:val="none"/>
          <w14:textFill>
            <w14:solidFill>
              <w14:schemeClr w14:val="tx1"/>
            </w14:solidFill>
          </w14:textFill>
        </w:rPr>
        <w:t>公布最终评审结果并出具开标记录，</w:t>
      </w:r>
      <w:r>
        <w:rPr>
          <w:rFonts w:hint="eastAsia" w:ascii="宋体" w:hAnsi="宋体" w:cs="宋体"/>
          <w:color w:val="000000" w:themeColor="text1"/>
          <w:szCs w:val="21"/>
          <w:highlight w:val="none"/>
          <w:lang w:eastAsia="zh-CN"/>
          <w14:textFill>
            <w14:solidFill>
              <w14:schemeClr w14:val="tx1"/>
            </w14:solidFill>
          </w14:textFill>
        </w:rPr>
        <w:t>相关人员</w:t>
      </w:r>
      <w:r>
        <w:rPr>
          <w:rFonts w:hint="eastAsia" w:ascii="宋体" w:hAnsi="宋体" w:cs="宋体"/>
          <w:color w:val="000000" w:themeColor="text1"/>
          <w:szCs w:val="21"/>
          <w:highlight w:val="none"/>
          <w14:textFill>
            <w14:solidFill>
              <w14:schemeClr w14:val="tx1"/>
            </w14:solidFill>
          </w14:textFill>
        </w:rPr>
        <w:t>当场签字确认；</w:t>
      </w:r>
    </w:p>
    <w:p w14:paraId="07FCCAD8">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开评标会议结束。</w:t>
      </w:r>
    </w:p>
    <w:p w14:paraId="17A0B2B3">
      <w:pPr>
        <w:pageBreakBefore w:val="0"/>
        <w:kinsoku/>
        <w:topLinePunct w:val="0"/>
        <w:bidi w:val="0"/>
        <w:snapToGrid/>
        <w:spacing w:line="360" w:lineRule="auto"/>
        <w:ind w:firstLine="420"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特别说明：如“</w:t>
      </w:r>
      <w:r>
        <w:rPr>
          <w:rFonts w:hint="eastAsia"/>
          <w:b/>
          <w:bCs/>
          <w:color w:val="000000" w:themeColor="text1"/>
          <w:szCs w:val="21"/>
          <w:highlight w:val="none"/>
          <w:lang w:val="en-US" w:eastAsia="zh-CN"/>
          <w14:textFill>
            <w14:solidFill>
              <w14:schemeClr w14:val="tx1"/>
            </w14:solidFill>
          </w14:textFill>
        </w:rPr>
        <w:t>浙江省公款竞争性存放网上招标平台</w:t>
      </w:r>
      <w:r>
        <w:rPr>
          <w:rFonts w:hint="eastAsia"/>
          <w:b/>
          <w:bCs/>
          <w:color w:val="000000" w:themeColor="text1"/>
          <w:szCs w:val="21"/>
          <w:highlight w:val="none"/>
          <w14:textFill>
            <w14:solidFill>
              <w14:schemeClr w14:val="tx1"/>
            </w14:solidFill>
          </w14:textFill>
        </w:rPr>
        <w:t>”系统对电子化开标及评审程序有调整的，按调整后的程序操作。</w:t>
      </w:r>
    </w:p>
    <w:p w14:paraId="7DD1C1C4">
      <w:pPr>
        <w:pageBreakBefore w:val="0"/>
        <w:kinsoku/>
        <w:topLinePunct w:val="0"/>
        <w:bidi w:val="0"/>
        <w:snapToGrid/>
        <w:spacing w:line="360" w:lineRule="auto"/>
        <w:ind w:firstLine="420" w:firstLineChars="200"/>
        <w:rPr>
          <w:b/>
          <w:bCs/>
          <w:color w:val="000000" w:themeColor="text1"/>
          <w:szCs w:val="21"/>
          <w:highlight w:val="none"/>
          <w14:textFill>
            <w14:solidFill>
              <w14:schemeClr w14:val="tx1"/>
            </w14:solidFill>
          </w14:textFill>
        </w:rPr>
      </w:pPr>
      <w:r>
        <w:rPr>
          <w:rFonts w:hint="eastAsia"/>
          <w:b/>
          <w:bCs/>
          <w:color w:val="000000" w:themeColor="text1"/>
          <w:szCs w:val="21"/>
          <w:highlight w:val="none"/>
          <w14:textFill>
            <w14:solidFill>
              <w14:schemeClr w14:val="tx1"/>
            </w14:solidFill>
          </w14:textFill>
        </w:rPr>
        <w:t>注：本项目采用浙江省公款竞争性存放网上招标平台电子招投标开标及评审程序，</w:t>
      </w:r>
      <w:r>
        <w:rPr>
          <w:rFonts w:hint="eastAsia"/>
          <w:b/>
          <w:bCs/>
          <w:color w:val="000000" w:themeColor="text1"/>
          <w:szCs w:val="21"/>
          <w:highlight w:val="none"/>
          <w:lang w:eastAsia="zh-CN"/>
          <w14:textFill>
            <w14:solidFill>
              <w14:schemeClr w14:val="tx1"/>
            </w14:solidFill>
          </w14:textFill>
        </w:rPr>
        <w:t>招标</w:t>
      </w:r>
      <w:r>
        <w:rPr>
          <w:rFonts w:hint="eastAsia"/>
          <w:b/>
          <w:bCs/>
          <w:color w:val="000000" w:themeColor="text1"/>
          <w:szCs w:val="21"/>
          <w:highlight w:val="none"/>
          <w14:textFill>
            <w14:solidFill>
              <w14:schemeClr w14:val="tx1"/>
            </w14:solidFill>
          </w14:textFill>
        </w:rPr>
        <w:t>过程中出现以下情形，导致电子交易平台无法正常运行，或者无法保证电子交易的公平、公正和安全时，</w:t>
      </w:r>
      <w:r>
        <w:rPr>
          <w:rFonts w:hint="eastAsia"/>
          <w:b/>
          <w:bCs/>
          <w:color w:val="000000" w:themeColor="text1"/>
          <w:szCs w:val="21"/>
          <w:highlight w:val="none"/>
          <w:lang w:eastAsia="zh-CN"/>
          <w14:textFill>
            <w14:solidFill>
              <w14:schemeClr w14:val="tx1"/>
            </w14:solidFill>
          </w14:textFill>
        </w:rPr>
        <w:t>招标代理机构</w:t>
      </w:r>
      <w:r>
        <w:rPr>
          <w:rFonts w:hint="eastAsia"/>
          <w:b/>
          <w:bCs/>
          <w:color w:val="000000" w:themeColor="text1"/>
          <w:szCs w:val="21"/>
          <w:highlight w:val="none"/>
          <w14:textFill>
            <w14:solidFill>
              <w14:schemeClr w14:val="tx1"/>
            </w14:solidFill>
          </w14:textFill>
        </w:rPr>
        <w:t>可中止电子交易活动：</w:t>
      </w:r>
    </w:p>
    <w:p w14:paraId="6257EB36">
      <w:pPr>
        <w:pageBreakBefore w:val="0"/>
        <w:kinsoku/>
        <w:topLinePunct w:val="0"/>
        <w:bidi w:val="0"/>
        <w:snapToGrid/>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（一）电子交易平台发生故障而无法登录访问的；</w:t>
      </w:r>
      <w:r>
        <w:rPr>
          <w:color w:val="000000" w:themeColor="text1"/>
          <w:szCs w:val="21"/>
          <w:highlight w:val="none"/>
          <w14:textFill>
            <w14:solidFill>
              <w14:schemeClr w14:val="tx1"/>
            </w14:solidFill>
          </w14:textFill>
        </w:rPr>
        <w:t xml:space="preserve"> </w:t>
      </w:r>
    </w:p>
    <w:p w14:paraId="169CF279">
      <w:pPr>
        <w:pageBreakBefore w:val="0"/>
        <w:kinsoku/>
        <w:topLinePunct w:val="0"/>
        <w:bidi w:val="0"/>
        <w:snapToGrid/>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（二）电子交易平台应用或数据库出现错误，不能进行正常操作的；</w:t>
      </w:r>
    </w:p>
    <w:p w14:paraId="3BD8D865">
      <w:pPr>
        <w:pageBreakBefore w:val="0"/>
        <w:kinsoku/>
        <w:topLinePunct w:val="0"/>
        <w:bidi w:val="0"/>
        <w:snapToGrid/>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（三）电子交易平台发现严重安全漏洞，有潜在泄密危险的；</w:t>
      </w:r>
    </w:p>
    <w:p w14:paraId="5155DB5B">
      <w:pPr>
        <w:pageBreakBefore w:val="0"/>
        <w:kinsoku/>
        <w:topLinePunct w:val="0"/>
        <w:bidi w:val="0"/>
        <w:snapToGrid/>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（四）病毒发作导致不能进行正常操作的；</w:t>
      </w:r>
    </w:p>
    <w:p w14:paraId="2228BE4C">
      <w:pPr>
        <w:pageBreakBefore w:val="0"/>
        <w:kinsoku/>
        <w:topLinePunct w:val="0"/>
        <w:bidi w:val="0"/>
        <w:snapToGrid/>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（五）其他无法保证电子交易的公平、公正和安全的情况。</w:t>
      </w:r>
    </w:p>
    <w:p w14:paraId="1DB5E39D">
      <w:pPr>
        <w:pageBreakBefore w:val="0"/>
        <w:kinsoku/>
        <w:topLinePunct w:val="0"/>
        <w:bidi w:val="0"/>
        <w:snapToGrid/>
        <w:spacing w:line="360" w:lineRule="auto"/>
        <w:ind w:firstLine="420" w:firstLineChars="200"/>
        <w:rPr>
          <w:b/>
          <w:color w:val="000000" w:themeColor="text1"/>
          <w:szCs w:val="2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出现前款规定情形，不影响</w:t>
      </w:r>
      <w:r>
        <w:rPr>
          <w:rFonts w:hint="eastAsia"/>
          <w:b/>
          <w:color w:val="000000" w:themeColor="text1"/>
          <w:szCs w:val="21"/>
          <w:highlight w:val="none"/>
          <w:lang w:eastAsia="zh-CN"/>
          <w14:textFill>
            <w14:solidFill>
              <w14:schemeClr w14:val="tx1"/>
            </w14:solidFill>
          </w14:textFill>
        </w:rPr>
        <w:t>招标</w:t>
      </w:r>
      <w:r>
        <w:rPr>
          <w:rFonts w:hint="eastAsia"/>
          <w:b/>
          <w:color w:val="000000" w:themeColor="text1"/>
          <w:szCs w:val="21"/>
          <w:highlight w:val="none"/>
          <w14:textFill>
            <w14:solidFill>
              <w14:schemeClr w14:val="tx1"/>
            </w14:solidFill>
          </w14:textFill>
        </w:rPr>
        <w:t>公平、公正性的，</w:t>
      </w:r>
      <w:r>
        <w:rPr>
          <w:rFonts w:hint="eastAsia"/>
          <w:b/>
          <w:color w:val="000000" w:themeColor="text1"/>
          <w:szCs w:val="21"/>
          <w:highlight w:val="none"/>
          <w:lang w:eastAsia="zh-CN"/>
          <w14:textFill>
            <w14:solidFill>
              <w14:schemeClr w14:val="tx1"/>
            </w14:solidFill>
          </w14:textFill>
        </w:rPr>
        <w:t>招标代理机构</w:t>
      </w:r>
      <w:r>
        <w:rPr>
          <w:rFonts w:hint="eastAsia"/>
          <w:b/>
          <w:color w:val="000000" w:themeColor="text1"/>
          <w:szCs w:val="21"/>
          <w:highlight w:val="none"/>
          <w14:textFill>
            <w14:solidFill>
              <w14:schemeClr w14:val="tx1"/>
            </w14:solidFill>
          </w14:textFill>
        </w:rPr>
        <w:t>可以待上述情形消除后继续组织电子交易活动。</w:t>
      </w:r>
    </w:p>
    <w:p w14:paraId="634D9665">
      <w:pPr>
        <w:pStyle w:val="3"/>
        <w:pageBreakBefore w:val="0"/>
        <w:kinsoku/>
        <w:topLinePunct w:val="0"/>
        <w:bidi w:val="0"/>
        <w:snapToGrid/>
        <w:spacing w:before="0" w:after="0" w:line="360" w:lineRule="auto"/>
        <w:jc w:val="left"/>
        <w:rPr>
          <w:rFonts w:hint="eastAsia" w:ascii="宋体" w:hAnsi="宋体" w:eastAsia="宋体" w:cs="宋体"/>
          <w:bCs w:val="0"/>
          <w:color w:val="000000" w:themeColor="text1"/>
          <w:sz w:val="21"/>
          <w:szCs w:val="21"/>
          <w:highlight w:val="none"/>
          <w:lang w:val="zh-CN"/>
          <w14:textFill>
            <w14:solidFill>
              <w14:schemeClr w14:val="tx1"/>
            </w14:solidFill>
          </w14:textFill>
        </w:rPr>
      </w:pPr>
      <w:bookmarkStart w:id="53" w:name="_Toc511"/>
      <w:r>
        <w:rPr>
          <w:rFonts w:hint="eastAsia" w:ascii="宋体" w:hAnsi="宋体" w:eastAsia="宋体" w:cs="宋体"/>
          <w:bCs w:val="0"/>
          <w:color w:val="000000" w:themeColor="text1"/>
          <w:sz w:val="21"/>
          <w:szCs w:val="21"/>
          <w:highlight w:val="none"/>
          <w:lang w:val="zh-CN"/>
          <w14:textFill>
            <w14:solidFill>
              <w14:schemeClr w14:val="tx1"/>
            </w14:solidFill>
          </w14:textFill>
        </w:rPr>
        <w:t>四、评标</w:t>
      </w:r>
      <w:bookmarkEnd w:id="46"/>
      <w:bookmarkEnd w:id="47"/>
      <w:bookmarkEnd w:id="48"/>
      <w:bookmarkEnd w:id="49"/>
      <w:bookmarkEnd w:id="50"/>
      <w:bookmarkEnd w:id="51"/>
      <w:bookmarkEnd w:id="52"/>
      <w:bookmarkEnd w:id="53"/>
    </w:p>
    <w:p w14:paraId="46B30B50">
      <w:pPr>
        <w:pageBreakBefore w:val="0"/>
        <w:kinsoku/>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（一）组建评标委员会</w:t>
      </w:r>
    </w:p>
    <w:p w14:paraId="50ECE4CF">
      <w:pPr>
        <w:pStyle w:val="8"/>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评标委员会由</w:t>
      </w:r>
      <w:r>
        <w:rPr>
          <w:rFonts w:hint="eastAsia" w:hAnsi="宋体" w:cs="宋体"/>
          <w:color w:val="000000" w:themeColor="text1"/>
          <w:sz w:val="21"/>
          <w:szCs w:val="21"/>
          <w:highlight w:val="none"/>
          <w:lang w:val="en-US" w:eastAsia="zh-CN"/>
          <w14:textFill>
            <w14:solidFill>
              <w14:schemeClr w14:val="tx1"/>
            </w14:solidFill>
          </w14:textFill>
        </w:rPr>
        <w:t>1名</w:t>
      </w:r>
      <w:r>
        <w:rPr>
          <w:rFonts w:hint="eastAsia" w:ascii="宋体" w:hAnsi="宋体" w:eastAsia="宋体" w:cs="宋体"/>
          <w:color w:val="000000" w:themeColor="text1"/>
          <w:sz w:val="21"/>
          <w:szCs w:val="21"/>
          <w:highlight w:val="none"/>
          <w:lang w:val="en-US" w:eastAsia="zh-CN"/>
          <w14:textFill>
            <w14:solidFill>
              <w14:schemeClr w14:val="tx1"/>
            </w14:solidFill>
          </w14:textFill>
        </w:rPr>
        <w:t>招标人代表及</w:t>
      </w:r>
      <w:r>
        <w:rPr>
          <w:rFonts w:hint="eastAsia" w:hAnsi="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名</w:t>
      </w:r>
      <w:r>
        <w:rPr>
          <w:rFonts w:hint="eastAsia" w:ascii="宋体" w:hAnsi="宋体" w:eastAsia="宋体" w:cs="宋体"/>
          <w:color w:val="000000" w:themeColor="text1"/>
          <w:sz w:val="21"/>
          <w:szCs w:val="21"/>
          <w:highlight w:val="none"/>
          <w:lang w:eastAsia="zh-CN"/>
          <w14:textFill>
            <w14:solidFill>
              <w14:schemeClr w14:val="tx1"/>
            </w14:solidFill>
          </w14:textFill>
        </w:rPr>
        <w:t>评审</w:t>
      </w:r>
      <w:r>
        <w:rPr>
          <w:rFonts w:hint="eastAsia" w:ascii="宋体" w:hAnsi="宋体" w:eastAsia="宋体" w:cs="宋体"/>
          <w:color w:val="000000" w:themeColor="text1"/>
          <w:sz w:val="21"/>
          <w:szCs w:val="21"/>
          <w:highlight w:val="none"/>
          <w14:textFill>
            <w14:solidFill>
              <w14:schemeClr w14:val="tx1"/>
            </w14:solidFill>
          </w14:textFill>
        </w:rPr>
        <w:t>专家组成。</w:t>
      </w:r>
    </w:p>
    <w:p w14:paraId="713A7E02">
      <w:pPr>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评审专家确定方式：按规定从常山县公款竞争性存放评委库中随机抽取。</w:t>
      </w:r>
    </w:p>
    <w:p w14:paraId="48D05602">
      <w:pPr>
        <w:pStyle w:val="8"/>
        <w:keepNext w:val="0"/>
        <w:keepLines w:val="0"/>
        <w:pageBreakBefore w:val="0"/>
        <w:kinsoku/>
        <w:wordWrap/>
        <w:topLinePunct w:val="0"/>
        <w:bidi w:val="0"/>
        <w:snapToGrid/>
        <w:spacing w:line="360" w:lineRule="auto"/>
        <w:ind w:firstLine="420" w:firstLineChars="200"/>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（二）评标的方式</w:t>
      </w:r>
    </w:p>
    <w:p w14:paraId="79458420">
      <w:pPr>
        <w:pStyle w:val="8"/>
        <w:keepNext w:val="0"/>
        <w:keepLines w:val="0"/>
        <w:pageBreakBefore w:val="0"/>
        <w:widowControl/>
        <w:kinsoku/>
        <w:wordWrap/>
        <w:overflowPunct w:val="0"/>
        <w:topLinePunct w:val="0"/>
        <w:autoSpaceDE w:val="0"/>
        <w:autoSpaceDN w:val="0"/>
        <w:bidi w:val="0"/>
        <w:adjustRightInd w:val="0"/>
        <w:snapToGrid/>
        <w:spacing w:line="360" w:lineRule="auto"/>
        <w:ind w:left="0" w:leftChars="0" w:firstLine="420" w:firstLineChars="200"/>
        <w:textAlignment w:val="baseline"/>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本项目采用不公开方式评标，评标的依据为</w:t>
      </w:r>
      <w:r>
        <w:rPr>
          <w:rFonts w:hint="eastAsia"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投标文件</w:t>
      </w:r>
      <w:r>
        <w:rPr>
          <w:rFonts w:hint="eastAsia" w:hAnsi="宋体" w:eastAsia="宋体" w:cs="宋体"/>
          <w:color w:val="000000" w:themeColor="text1"/>
          <w:sz w:val="21"/>
          <w:szCs w:val="21"/>
          <w:highlight w:val="none"/>
          <w:lang w:eastAsia="zh-CN"/>
          <w14:textFill>
            <w14:solidFill>
              <w14:schemeClr w14:val="tx1"/>
            </w14:solidFill>
          </w14:textFill>
        </w:rPr>
        <w:t>以及</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由招标单位向相关部门获取后统一提供</w:t>
      </w:r>
      <w:r>
        <w:rPr>
          <w:rFonts w:hint="eastAsia" w:hAnsi="宋体" w:eastAsia="宋体" w:cs="宋体"/>
          <w:b w:val="0"/>
          <w:bCs w:val="0"/>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相关数据</w:t>
      </w:r>
      <w:r>
        <w:rPr>
          <w:rFonts w:hint="eastAsia" w:ascii="宋体" w:hAnsi="宋体" w:eastAsia="宋体" w:cs="宋体"/>
          <w:b w:val="0"/>
          <w:bCs w:val="0"/>
          <w:color w:val="000000" w:themeColor="text1"/>
          <w:sz w:val="21"/>
          <w:szCs w:val="21"/>
          <w:highlight w:val="none"/>
          <w14:textFill>
            <w14:solidFill>
              <w14:schemeClr w14:val="tx1"/>
            </w14:solidFill>
          </w14:textFill>
        </w:rPr>
        <w:t>。</w:t>
      </w:r>
    </w:p>
    <w:p w14:paraId="5B0266D0">
      <w:pPr>
        <w:keepNext w:val="0"/>
        <w:keepLines w:val="0"/>
        <w:pageBreakBefore w:val="0"/>
        <w:kinsoku/>
        <w:wordWrap/>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（三）澄清问题的形式</w:t>
      </w:r>
    </w:p>
    <w:p w14:paraId="227E67BA">
      <w:pPr>
        <w:keepNext w:val="0"/>
        <w:keepLines w:val="0"/>
        <w:pageBreakBefore w:val="0"/>
        <w:kinsoku/>
        <w:wordWrap/>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投标文件中含义不明确、同类问题表述不一致或者有明显文字和计算错误的内容，评标委员会可要求投标人作出必要的澄清、说明或者纠正。投标人的澄清、说明或者补正应当采用书面形式，由其授权代表签字或盖章确认，并不得超出投标文件的范围或者改变投标文件的实质性内容。</w:t>
      </w:r>
    </w:p>
    <w:p w14:paraId="470502F3">
      <w:pPr>
        <w:keepNext w:val="0"/>
        <w:keepLines w:val="0"/>
        <w:pageBreakBefore w:val="0"/>
        <w:kinsoku/>
        <w:wordWrap/>
        <w:topLinePunct w:val="0"/>
        <w:autoSpaceDE w:val="0"/>
        <w:autoSpaceDN w:val="0"/>
        <w:bidi w:val="0"/>
        <w:adjustRightInd w:val="0"/>
        <w:snapToGrid/>
        <w:spacing w:line="360" w:lineRule="auto"/>
        <w:ind w:firstLine="315" w:firstLineChars="150"/>
        <w:jc w:val="left"/>
        <w:rPr>
          <w:rFonts w:ascii="宋体" w:cs="宋体"/>
          <w:b/>
          <w:color w:val="000000" w:themeColor="text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（四）评标程序</w:t>
      </w:r>
    </w:p>
    <w:p w14:paraId="61E7E920">
      <w:pPr>
        <w:keepNext w:val="0"/>
        <w:keepLines w:val="0"/>
        <w:pageBreakBefore w:val="0"/>
        <w:kinsoku/>
        <w:wordWrap/>
        <w:topLinePunct w:val="0"/>
        <w:bidi w:val="0"/>
        <w:snapToGrid/>
        <w:spacing w:line="360" w:lineRule="auto"/>
        <w:ind w:firstLine="420" w:firstLineChars="200"/>
        <w:rPr>
          <w:rFonts w:asci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形式审查（符合性审查）</w:t>
      </w:r>
    </w:p>
    <w:p w14:paraId="30EEAB22">
      <w:pPr>
        <w:keepNext w:val="0"/>
        <w:keepLines w:val="0"/>
        <w:pageBreakBefore w:val="0"/>
        <w:kinsoku/>
        <w:wordWrap/>
        <w:topLinePunct w:val="0"/>
        <w:bidi w:val="0"/>
        <w:snapToGrid/>
        <w:spacing w:line="360" w:lineRule="auto"/>
        <w:ind w:firstLine="420"/>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对符合</w:t>
      </w:r>
      <w:r>
        <w:rPr>
          <w:rFonts w:hint="eastAsia" w:ascii="宋体" w:hAnsi="宋体" w:cs="宋体"/>
          <w:color w:val="000000" w:themeColor="text1"/>
          <w:szCs w:val="21"/>
          <w:highlight w:val="none"/>
          <w:lang w:eastAsia="zh-CN"/>
          <w14:textFill>
            <w14:solidFill>
              <w14:schemeClr w14:val="tx1"/>
            </w14:solidFill>
          </w14:textFill>
        </w:rPr>
        <w:t>报名</w:t>
      </w:r>
      <w:r>
        <w:rPr>
          <w:rFonts w:hint="eastAsia" w:ascii="宋体" w:hAnsi="宋体" w:cs="宋体"/>
          <w:color w:val="000000" w:themeColor="text1"/>
          <w:szCs w:val="21"/>
          <w:highlight w:val="none"/>
          <w14:textFill>
            <w14:solidFill>
              <w14:schemeClr w14:val="tx1"/>
            </w14:solidFill>
          </w14:textFill>
        </w:rPr>
        <w:t>条件的投标人的投标文件进行符合性审查，以确定其是否</w:t>
      </w:r>
      <w:r>
        <w:rPr>
          <w:rFonts w:hint="eastAsia" w:ascii="宋体" w:hAnsi="宋体" w:cs="宋体"/>
          <w:color w:val="000000" w:themeColor="text1"/>
          <w:szCs w:val="21"/>
          <w:highlight w:val="none"/>
          <w:lang w:eastAsia="zh-CN"/>
          <w14:textFill>
            <w14:solidFill>
              <w14:schemeClr w14:val="tx1"/>
            </w14:solidFill>
          </w14:textFill>
        </w:rPr>
        <w:t>完全对招标</w:t>
      </w:r>
      <w:r>
        <w:rPr>
          <w:rFonts w:hint="eastAsia" w:ascii="宋体" w:hAnsi="宋体" w:cs="宋体"/>
          <w:color w:val="000000" w:themeColor="text1"/>
          <w:szCs w:val="21"/>
          <w:highlight w:val="none"/>
          <w14:textFill>
            <w14:solidFill>
              <w14:schemeClr w14:val="tx1"/>
            </w14:solidFill>
          </w14:textFill>
        </w:rPr>
        <w:t>文件的实质性要求</w:t>
      </w:r>
      <w:r>
        <w:rPr>
          <w:rFonts w:hint="eastAsia" w:ascii="宋体" w:hAnsi="宋体" w:cs="宋体"/>
          <w:color w:val="000000" w:themeColor="text1"/>
          <w:szCs w:val="21"/>
          <w:highlight w:val="none"/>
          <w:lang w:eastAsia="zh-CN"/>
          <w14:textFill>
            <w14:solidFill>
              <w14:schemeClr w14:val="tx1"/>
            </w14:solidFill>
          </w14:textFill>
        </w:rPr>
        <w:t>进行响应</w:t>
      </w:r>
      <w:r>
        <w:rPr>
          <w:rFonts w:hint="eastAsia" w:ascii="宋体" w:hAnsi="宋体" w:cs="宋体"/>
          <w:color w:val="000000" w:themeColor="text1"/>
          <w:szCs w:val="21"/>
          <w:highlight w:val="none"/>
          <w14:textFill>
            <w14:solidFill>
              <w14:schemeClr w14:val="tx1"/>
            </w14:solidFill>
          </w14:textFill>
        </w:rPr>
        <w:t>。</w:t>
      </w:r>
    </w:p>
    <w:p w14:paraId="2A6FEB59">
      <w:pPr>
        <w:keepNext w:val="0"/>
        <w:keepLines w:val="0"/>
        <w:pageBreakBefore w:val="0"/>
        <w:kinsoku/>
        <w:wordWrap/>
        <w:topLinePunct w:val="0"/>
        <w:bidi w:val="0"/>
        <w:snapToGrid/>
        <w:spacing w:line="360" w:lineRule="auto"/>
        <w:ind w:firstLine="411" w:firstLineChars="196"/>
        <w:rPr>
          <w:rFonts w:ascii="宋体" w:cs="宋体"/>
          <w:bCs/>
          <w:color w:val="000000" w:themeColor="text1"/>
          <w:szCs w:val="21"/>
          <w:highlight w:val="none"/>
          <w14:textFill>
            <w14:solidFill>
              <w14:schemeClr w14:val="tx1"/>
            </w14:solidFill>
          </w14:textFill>
        </w:rPr>
      </w:pPr>
      <w:r>
        <w:rPr>
          <w:rFonts w:ascii="宋体" w:hAnsi="宋体" w:cs="宋体"/>
          <w:bCs/>
          <w:color w:val="000000" w:themeColor="text1"/>
          <w:szCs w:val="21"/>
          <w:highlight w:val="none"/>
          <w14:textFill>
            <w14:solidFill>
              <w14:schemeClr w14:val="tx1"/>
            </w14:solidFill>
          </w14:textFill>
        </w:rPr>
        <w:t>2.</w:t>
      </w:r>
      <w:r>
        <w:rPr>
          <w:rFonts w:hint="eastAsia" w:ascii="宋体" w:hAnsi="宋体" w:cs="宋体"/>
          <w:bCs/>
          <w:color w:val="000000" w:themeColor="text1"/>
          <w:szCs w:val="21"/>
          <w:highlight w:val="none"/>
          <w14:textFill>
            <w14:solidFill>
              <w14:schemeClr w14:val="tx1"/>
            </w14:solidFill>
          </w14:textFill>
        </w:rPr>
        <w:t>实质审查与比较</w:t>
      </w:r>
    </w:p>
    <w:p w14:paraId="344DA63B">
      <w:pPr>
        <w:keepNext w:val="0"/>
        <w:keepLines w:val="0"/>
        <w:pageBreakBefore w:val="0"/>
        <w:kinsoku/>
        <w:wordWrap/>
        <w:topLinePunct w:val="0"/>
        <w:bidi w:val="0"/>
        <w:snapToGrid/>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）评标委员会按</w:t>
      </w:r>
      <w:r>
        <w:rPr>
          <w:rFonts w:hint="eastAsia" w:ascii="宋体" w:hAnsi="宋体" w:cs="宋体"/>
          <w:color w:val="000000" w:themeColor="text1"/>
          <w:szCs w:val="21"/>
          <w:highlight w:val="none"/>
          <w:lang w:eastAsia="zh-CN"/>
          <w14:textFill>
            <w14:solidFill>
              <w14:schemeClr w14:val="tx1"/>
            </w14:solidFill>
          </w14:textFill>
        </w:rPr>
        <w:t>招标</w:t>
      </w:r>
      <w:r>
        <w:rPr>
          <w:rFonts w:hint="eastAsia" w:ascii="宋体" w:hAnsi="宋体" w:cs="宋体"/>
          <w:color w:val="000000" w:themeColor="text1"/>
          <w:szCs w:val="21"/>
          <w:highlight w:val="none"/>
          <w14:textFill>
            <w14:solidFill>
              <w14:schemeClr w14:val="tx1"/>
            </w14:solidFill>
          </w14:textFill>
        </w:rPr>
        <w:t>文件中规定的评标方法和标准，对符合性审查合格的投标文件进行综合比较与评价。</w:t>
      </w:r>
    </w:p>
    <w:p w14:paraId="748A3BEC">
      <w:pPr>
        <w:keepNext w:val="0"/>
        <w:keepLines w:val="0"/>
        <w:pageBreakBefore w:val="0"/>
        <w:kinsoku/>
        <w:wordWrap/>
        <w:topLinePunct w:val="0"/>
        <w:bidi w:val="0"/>
        <w:snapToGrid/>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）评标委员会根据投标人的投标文件进行审查、评判，如有疑问，将对投标人进行询标，投标人需向评标委员会澄清有关问题</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并最终以书面形式进行答复。投标人代表拒绝澄清或者澄清的内容改变了投标文件的实质性内容的，评标委员会有权对该投标文件作出不利于投标人的评判。</w:t>
      </w:r>
    </w:p>
    <w:p w14:paraId="2E7E7C75">
      <w:pPr>
        <w:keepNext w:val="0"/>
        <w:keepLines w:val="0"/>
        <w:pageBreakBefore w:val="0"/>
        <w:kinsoku/>
        <w:wordWrap/>
        <w:topLinePunct w:val="0"/>
        <w:bidi w:val="0"/>
        <w:snapToGrid/>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）各投标人的</w:t>
      </w:r>
      <w:r>
        <w:rPr>
          <w:rFonts w:hint="eastAsia" w:ascii="宋体" w:hAnsi="宋体" w:cs="宋体"/>
          <w:color w:val="000000" w:themeColor="text1"/>
          <w:szCs w:val="21"/>
          <w:highlight w:val="none"/>
          <w:lang w:eastAsia="zh-CN"/>
          <w14:textFill>
            <w14:solidFill>
              <w14:schemeClr w14:val="tx1"/>
            </w14:solidFill>
          </w14:textFill>
        </w:rPr>
        <w:t>技术资信得分</w:t>
      </w:r>
      <w:r>
        <w:rPr>
          <w:rFonts w:hint="eastAsia" w:ascii="宋体" w:hAnsi="宋体" w:cs="宋体"/>
          <w:color w:val="000000" w:themeColor="text1"/>
          <w:szCs w:val="21"/>
          <w:highlight w:val="none"/>
          <w14:textFill>
            <w14:solidFill>
              <w14:schemeClr w14:val="tx1"/>
            </w14:solidFill>
          </w14:textFill>
        </w:rPr>
        <w:t>为所有评委的有效评分的算术平均值，由评标委员会指定专人进行计算复核。</w:t>
      </w:r>
    </w:p>
    <w:p w14:paraId="241C3F83">
      <w:pPr>
        <w:keepNext w:val="0"/>
        <w:keepLines w:val="0"/>
        <w:pageBreakBefore w:val="0"/>
        <w:kinsoku/>
        <w:wordWrap/>
        <w:topLinePunct w:val="0"/>
        <w:bidi w:val="0"/>
        <w:snapToGrid/>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）评标委员会根据本项目的评分标准计算各投标人的报价得分。</w:t>
      </w:r>
    </w:p>
    <w:p w14:paraId="0FA53AD7">
      <w:pPr>
        <w:keepNext w:val="0"/>
        <w:keepLines w:val="0"/>
        <w:pageBreakBefore w:val="0"/>
        <w:kinsoku/>
        <w:wordWrap/>
        <w:topLinePunct w:val="0"/>
        <w:bidi w:val="0"/>
        <w:snapToGrid/>
        <w:spacing w:line="360" w:lineRule="auto"/>
        <w:ind w:firstLine="411" w:firstLineChars="196"/>
        <w:rPr>
          <w:rFonts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）评标委员会完成评标后，评委对各部分得分汇总，计算出各投标人综合得分。评标委员会按评标原则起草评标报告并推荐中标候选人。</w:t>
      </w:r>
    </w:p>
    <w:p w14:paraId="1944218C">
      <w:pPr>
        <w:keepNext w:val="0"/>
        <w:keepLines w:val="0"/>
        <w:pageBreakBefore w:val="0"/>
        <w:kinsoku/>
        <w:wordWrap/>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cs="宋体"/>
          <w:b/>
          <w:color w:val="000000" w:themeColor="text1"/>
          <w:szCs w:val="21"/>
          <w:highlight w:val="none"/>
          <w:lang w:val="zh-CN"/>
          <w14:textFill>
            <w14:solidFill>
              <w14:schemeClr w14:val="tx1"/>
            </w14:solidFill>
          </w14:textFill>
        </w:rPr>
        <w:t>（五）</w:t>
      </w:r>
      <w:r>
        <w:rPr>
          <w:rFonts w:hint="eastAsia" w:ascii="宋体" w:hAnsi="宋体" w:eastAsia="宋体" w:cs="宋体"/>
          <w:b/>
          <w:color w:val="000000" w:themeColor="text1"/>
          <w:sz w:val="21"/>
          <w:szCs w:val="21"/>
          <w:highlight w:val="none"/>
          <w:lang w:val="zh-CN"/>
          <w14:textFill>
            <w14:solidFill>
              <w14:schemeClr w14:val="tx1"/>
            </w14:solidFill>
          </w14:textFill>
        </w:rPr>
        <w:t>评标原则和评标办法</w:t>
      </w:r>
    </w:p>
    <w:p w14:paraId="28541211">
      <w:pPr>
        <w:pStyle w:val="8"/>
        <w:keepNext w:val="0"/>
        <w:keepLines w:val="0"/>
        <w:pageBreakBefore w:val="0"/>
        <w:kinsoku/>
        <w:wordWrap/>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1.评标原则。</w:t>
      </w:r>
      <w:r>
        <w:rPr>
          <w:rFonts w:hint="eastAsia" w:ascii="宋体" w:hAnsi="宋体" w:eastAsia="宋体" w:cs="宋体"/>
          <w:color w:val="000000" w:themeColor="text1"/>
          <w:sz w:val="21"/>
          <w:szCs w:val="21"/>
          <w:highlight w:val="none"/>
          <w14:textFill>
            <w14:solidFill>
              <w14:schemeClr w14:val="tx1"/>
            </w14:solidFill>
          </w14:textFill>
        </w:rPr>
        <w:t>评标委员会必须公平、公正、客观，不带任何倾向性和启发性；不得向外界透露任何与评标有关的内容；任何单位和个人不得干扰、影响评标的正常进行；评标委员会及有关工作人员不得私下与投标人接触。</w:t>
      </w:r>
    </w:p>
    <w:p w14:paraId="0E210642">
      <w:pPr>
        <w:pStyle w:val="8"/>
        <w:keepNext w:val="0"/>
        <w:keepLines w:val="0"/>
        <w:pageBreakBefore w:val="0"/>
        <w:kinsoku/>
        <w:wordWrap/>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2.评标办法。</w:t>
      </w:r>
      <w:r>
        <w:rPr>
          <w:rFonts w:hint="eastAsia" w:ascii="宋体" w:hAnsi="宋体" w:eastAsia="宋体" w:cs="宋体"/>
          <w:bCs/>
          <w:color w:val="000000" w:themeColor="text1"/>
          <w:sz w:val="21"/>
          <w:szCs w:val="21"/>
          <w:highlight w:val="none"/>
          <w14:textFill>
            <w14:solidFill>
              <w14:schemeClr w14:val="tx1"/>
            </w14:solidFill>
          </w14:textFill>
        </w:rPr>
        <w:t>综合评分法，</w:t>
      </w:r>
      <w:r>
        <w:rPr>
          <w:rFonts w:hint="eastAsia" w:ascii="宋体" w:hAnsi="宋体" w:eastAsia="宋体" w:cs="宋体"/>
          <w:color w:val="000000" w:themeColor="text1"/>
          <w:sz w:val="21"/>
          <w:szCs w:val="21"/>
          <w:highlight w:val="none"/>
          <w14:textFill>
            <w14:solidFill>
              <w14:schemeClr w14:val="tx1"/>
            </w14:solidFill>
          </w14:textFill>
        </w:rPr>
        <w:t>具体评标内容及评分标准等详见第五章“评标办法及评分标准”。</w:t>
      </w:r>
    </w:p>
    <w:p w14:paraId="27DDF2B5">
      <w:pPr>
        <w:keepNext w:val="0"/>
        <w:keepLines w:val="0"/>
        <w:pageBreakBefore w:val="0"/>
        <w:kinsoku/>
        <w:wordWrap/>
        <w:topLinePunct w:val="0"/>
        <w:autoSpaceDE w:val="0"/>
        <w:autoSpaceDN w:val="0"/>
        <w:bidi w:val="0"/>
        <w:adjustRightInd w:val="0"/>
        <w:snapToGrid/>
        <w:spacing w:line="360" w:lineRule="auto"/>
        <w:ind w:firstLine="210" w:firstLineChars="10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（六）投标无效的情形</w:t>
      </w:r>
    </w:p>
    <w:p w14:paraId="4E8FD3A6">
      <w:pPr>
        <w:keepNext w:val="0"/>
        <w:keepLines w:val="0"/>
        <w:pageBreakBefore w:val="0"/>
        <w:kinsoku/>
        <w:wordWrap/>
        <w:topLinePunct w:val="0"/>
        <w:bidi w:val="0"/>
        <w:snapToGrid/>
        <w:spacing w:line="36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没有响应</w:t>
      </w:r>
      <w:r>
        <w:rPr>
          <w:rFonts w:hint="eastAsia" w:ascii="宋体" w:hAnsi="宋体" w:eastAsia="宋体" w:cs="宋体"/>
          <w:b/>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
          <w:bCs/>
          <w:color w:val="000000" w:themeColor="text1"/>
          <w:sz w:val="21"/>
          <w:szCs w:val="21"/>
          <w:highlight w:val="none"/>
          <w14:textFill>
            <w14:solidFill>
              <w14:schemeClr w14:val="tx1"/>
            </w14:solidFill>
          </w14:textFill>
        </w:rPr>
        <w:t>实质性要求的投标将被视为无效投标</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出现下列情形之一的，经评标委员会认定后按无效投标处理：</w:t>
      </w:r>
    </w:p>
    <w:p w14:paraId="59BF75FF">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rPr>
          <w:rStyle w:val="22"/>
          <w:rFonts w:hint="eastAsia" w:ascii="宋体" w:hAnsi="宋体" w:eastAsia="宋体" w:cs="宋体"/>
          <w:color w:val="000000" w:themeColor="text1"/>
          <w:sz w:val="21"/>
          <w:szCs w:val="21"/>
          <w:highlight w:val="none"/>
          <w14:textFill>
            <w14:solidFill>
              <w14:schemeClr w14:val="tx1"/>
            </w14:solidFill>
          </w14:textFill>
        </w:rPr>
      </w:pPr>
      <w:r>
        <w:rPr>
          <w:rStyle w:val="22"/>
          <w:rFonts w:hint="eastAsia" w:ascii="宋体" w:hAnsi="宋体" w:eastAsia="宋体" w:cs="宋体"/>
          <w:color w:val="000000" w:themeColor="text1"/>
          <w:sz w:val="21"/>
          <w:szCs w:val="21"/>
          <w:highlight w:val="none"/>
          <w14:textFill>
            <w14:solidFill>
              <w14:schemeClr w14:val="tx1"/>
            </w14:solidFill>
          </w14:textFill>
        </w:rPr>
        <w:t>1.招标文件中标示“▲”的内容为实质性响应或技术参数、指标负偏离的；</w:t>
      </w:r>
    </w:p>
    <w:p w14:paraId="2D32B2B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rPr>
          <w:rStyle w:val="22"/>
          <w:rFonts w:hint="eastAsia" w:ascii="宋体" w:hAnsi="宋体" w:eastAsia="宋体" w:cs="宋体"/>
          <w:color w:val="000000" w:themeColor="text1"/>
          <w:sz w:val="21"/>
          <w:szCs w:val="21"/>
          <w:highlight w:val="none"/>
          <w14:textFill>
            <w14:solidFill>
              <w14:schemeClr w14:val="tx1"/>
            </w14:solidFill>
          </w14:textFill>
        </w:rPr>
      </w:pPr>
      <w:r>
        <w:rPr>
          <w:rStyle w:val="22"/>
          <w:rFonts w:hint="eastAsia" w:ascii="宋体" w:hAnsi="宋体" w:eastAsia="宋体" w:cs="宋体"/>
          <w:b w:val="0"/>
          <w:bCs w:val="0"/>
          <w:color w:val="000000" w:themeColor="text1"/>
          <w:sz w:val="21"/>
          <w:szCs w:val="21"/>
          <w:highlight w:val="none"/>
          <w:lang w:val="en-US"/>
          <w14:textFill>
            <w14:solidFill>
              <w14:schemeClr w14:val="tx1"/>
            </w14:solidFill>
          </w14:textFill>
        </w:rPr>
        <w:t>2</w:t>
      </w:r>
      <w:r>
        <w:rPr>
          <w:rStyle w:val="22"/>
          <w:rFonts w:hint="eastAsia" w:ascii="宋体" w:hAnsi="宋体" w:eastAsia="宋体" w:cs="宋体"/>
          <w:b w:val="0"/>
          <w:bCs w:val="0"/>
          <w:color w:val="000000" w:themeColor="text1"/>
          <w:sz w:val="21"/>
          <w:szCs w:val="21"/>
          <w:highlight w:val="none"/>
          <w14:textFill>
            <w14:solidFill>
              <w14:schemeClr w14:val="tx1"/>
            </w14:solidFill>
          </w14:textFill>
        </w:rPr>
        <w:t>.法律、法规和招标文件中规定的其他无效情形</w:t>
      </w:r>
      <w:r>
        <w:rPr>
          <w:rStyle w:val="22"/>
          <w:rFonts w:hint="eastAsia" w:ascii="宋体" w:hAnsi="宋体" w:eastAsia="宋体" w:cs="宋体"/>
          <w:color w:val="000000" w:themeColor="text1"/>
          <w:sz w:val="21"/>
          <w:szCs w:val="21"/>
          <w:highlight w:val="none"/>
          <w14:textFill>
            <w14:solidFill>
              <w14:schemeClr w14:val="tx1"/>
            </w14:solidFill>
          </w14:textFill>
        </w:rPr>
        <w:t>。</w:t>
      </w:r>
    </w:p>
    <w:p w14:paraId="7253CE75">
      <w:pPr>
        <w:keepNext w:val="0"/>
        <w:keepLines w:val="0"/>
        <w:pageBreakBefore w:val="0"/>
        <w:kinsoku/>
        <w:wordWrap/>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（七）废标的情形</w:t>
      </w:r>
    </w:p>
    <w:p w14:paraId="2B60AF6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rPr>
          <w:rStyle w:val="22"/>
          <w:rFonts w:hint="eastAsia" w:ascii="宋体" w:hAnsi="宋体" w:eastAsia="宋体" w:cs="宋体"/>
          <w:color w:val="000000" w:themeColor="text1"/>
          <w:sz w:val="21"/>
          <w:szCs w:val="21"/>
          <w:highlight w:val="none"/>
          <w14:textFill>
            <w14:solidFill>
              <w14:schemeClr w14:val="tx1"/>
            </w14:solidFill>
          </w14:textFill>
        </w:rPr>
      </w:pPr>
      <w:r>
        <w:rPr>
          <w:rStyle w:val="22"/>
          <w:rFonts w:hint="eastAsia" w:ascii="宋体" w:hAnsi="宋体" w:eastAsia="宋体" w:cs="宋体"/>
          <w:color w:val="000000" w:themeColor="text1"/>
          <w:sz w:val="21"/>
          <w:szCs w:val="21"/>
          <w:highlight w:val="none"/>
          <w14:textFill>
            <w14:solidFill>
              <w14:schemeClr w14:val="tx1"/>
            </w14:solidFill>
          </w14:textFill>
        </w:rPr>
        <w:t>招标中，出现下列情形之一的，应予废标，废标后，招标人将废标理由通知所有投标人：</w:t>
      </w:r>
    </w:p>
    <w:p w14:paraId="69629DCB">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rPr>
          <w:rStyle w:val="22"/>
          <w:rFonts w:hint="eastAsia" w:ascii="宋体" w:hAnsi="宋体" w:eastAsia="宋体" w:cs="宋体"/>
          <w:color w:val="000000" w:themeColor="text1"/>
          <w:sz w:val="21"/>
          <w:szCs w:val="21"/>
          <w:highlight w:val="none"/>
          <w14:textFill>
            <w14:solidFill>
              <w14:schemeClr w14:val="tx1"/>
            </w14:solidFill>
          </w14:textFill>
        </w:rPr>
      </w:pPr>
      <w:r>
        <w:rPr>
          <w:rStyle w:val="22"/>
          <w:rFonts w:hint="eastAsia" w:ascii="宋体" w:hAnsi="宋体" w:eastAsia="宋体" w:cs="宋体"/>
          <w:color w:val="000000" w:themeColor="text1"/>
          <w:sz w:val="21"/>
          <w:szCs w:val="21"/>
          <w:highlight w:val="none"/>
          <w14:textFill>
            <w14:solidFill>
              <w14:schemeClr w14:val="tx1"/>
            </w14:solidFill>
          </w14:textFill>
        </w:rPr>
        <w:t>1.符合专业条件的投标人或对招标文件作实质性响应的投标人不足</w:t>
      </w:r>
      <w:r>
        <w:rPr>
          <w:rStyle w:val="22"/>
          <w:rFonts w:hint="eastAsia" w:ascii="宋体" w:hAnsi="宋体" w:cs="宋体"/>
          <w:color w:val="000000" w:themeColor="text1"/>
          <w:sz w:val="21"/>
          <w:szCs w:val="21"/>
          <w:highlight w:val="none"/>
          <w:lang w:val="en-US"/>
          <w14:textFill>
            <w14:solidFill>
              <w14:schemeClr w14:val="tx1"/>
            </w14:solidFill>
          </w14:textFill>
        </w:rPr>
        <w:t>16</w:t>
      </w:r>
      <w:r>
        <w:rPr>
          <w:rStyle w:val="22"/>
          <w:rFonts w:hint="eastAsia" w:ascii="宋体" w:hAnsi="宋体" w:eastAsia="宋体" w:cs="宋体"/>
          <w:color w:val="000000" w:themeColor="text1"/>
          <w:sz w:val="21"/>
          <w:szCs w:val="21"/>
          <w:highlight w:val="none"/>
          <w14:textFill>
            <w14:solidFill>
              <w14:schemeClr w14:val="tx1"/>
            </w14:solidFill>
          </w14:textFill>
        </w:rPr>
        <w:t>家的；</w:t>
      </w:r>
    </w:p>
    <w:p w14:paraId="3EC20E0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rPr>
          <w:rStyle w:val="22"/>
          <w:rFonts w:hint="eastAsia" w:ascii="宋体" w:hAnsi="宋体" w:eastAsia="宋体" w:cs="宋体"/>
          <w:color w:val="000000" w:themeColor="text1"/>
          <w:sz w:val="21"/>
          <w:szCs w:val="21"/>
          <w:highlight w:val="none"/>
          <w14:textFill>
            <w14:solidFill>
              <w14:schemeClr w14:val="tx1"/>
            </w14:solidFill>
          </w14:textFill>
        </w:rPr>
      </w:pPr>
      <w:r>
        <w:rPr>
          <w:rStyle w:val="22"/>
          <w:rFonts w:hint="eastAsia" w:ascii="宋体" w:hAnsi="宋体" w:eastAsia="宋体" w:cs="宋体"/>
          <w:color w:val="000000" w:themeColor="text1"/>
          <w:sz w:val="21"/>
          <w:szCs w:val="21"/>
          <w:highlight w:val="none"/>
          <w:lang w:val="en-US"/>
          <w14:textFill>
            <w14:solidFill>
              <w14:schemeClr w14:val="tx1"/>
            </w14:solidFill>
          </w14:textFill>
        </w:rPr>
        <w:t>2</w:t>
      </w:r>
      <w:r>
        <w:rPr>
          <w:rStyle w:val="22"/>
          <w:rFonts w:hint="eastAsia" w:ascii="宋体" w:hAnsi="宋体" w:eastAsia="宋体" w:cs="宋体"/>
          <w:color w:val="000000" w:themeColor="text1"/>
          <w:sz w:val="21"/>
          <w:szCs w:val="21"/>
          <w:highlight w:val="none"/>
          <w14:textFill>
            <w14:solidFill>
              <w14:schemeClr w14:val="tx1"/>
            </w14:solidFill>
          </w14:textFill>
        </w:rPr>
        <w:t>.出现影响招标公正的违法、违规行为的；</w:t>
      </w:r>
    </w:p>
    <w:p w14:paraId="2205BD6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baseline"/>
        <w:rPr>
          <w:rStyle w:val="22"/>
          <w:rFonts w:hint="eastAsia" w:ascii="宋体" w:hAnsi="宋体" w:eastAsia="宋体" w:cs="宋体"/>
          <w:color w:val="000000" w:themeColor="text1"/>
          <w:sz w:val="21"/>
          <w:szCs w:val="21"/>
          <w:highlight w:val="none"/>
          <w14:textFill>
            <w14:solidFill>
              <w14:schemeClr w14:val="tx1"/>
            </w14:solidFill>
          </w14:textFill>
        </w:rPr>
      </w:pPr>
      <w:r>
        <w:rPr>
          <w:rStyle w:val="22"/>
          <w:rFonts w:hint="eastAsia" w:ascii="宋体" w:hAnsi="宋体" w:eastAsia="宋体" w:cs="宋体"/>
          <w:color w:val="000000" w:themeColor="text1"/>
          <w:sz w:val="21"/>
          <w:szCs w:val="21"/>
          <w:highlight w:val="none"/>
          <w:lang w:val="en-US"/>
          <w14:textFill>
            <w14:solidFill>
              <w14:schemeClr w14:val="tx1"/>
            </w14:solidFill>
          </w14:textFill>
        </w:rPr>
        <w:t>3</w:t>
      </w:r>
      <w:r>
        <w:rPr>
          <w:rStyle w:val="22"/>
          <w:rFonts w:hint="eastAsia" w:ascii="宋体" w:hAnsi="宋体" w:eastAsia="宋体" w:cs="宋体"/>
          <w:color w:val="000000" w:themeColor="text1"/>
          <w:sz w:val="21"/>
          <w:szCs w:val="21"/>
          <w:highlight w:val="none"/>
          <w14:textFill>
            <w14:solidFill>
              <w14:schemeClr w14:val="tx1"/>
            </w14:solidFill>
          </w14:textFill>
        </w:rPr>
        <w:t>.因重大变故，招标任务取消的；</w:t>
      </w:r>
    </w:p>
    <w:p w14:paraId="5EEA2B4B">
      <w:pPr>
        <w:pStyle w:val="8"/>
        <w:keepNext w:val="0"/>
        <w:keepLines w:val="0"/>
        <w:pageBreakBefore w:val="0"/>
        <w:kinsoku/>
        <w:wordWrap/>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废标后，废标理由将在原</w:t>
      </w:r>
      <w:r>
        <w:rPr>
          <w:rFonts w:hint="eastAsia" w:hAnsi="宋体" w:eastAsia="宋体" w:cs="宋体"/>
          <w:color w:val="000000" w:themeColor="text1"/>
          <w:sz w:val="21"/>
          <w:szCs w:val="21"/>
          <w:highlight w:val="none"/>
          <w:lang w:eastAsia="zh-CN"/>
          <w14:textFill>
            <w14:solidFill>
              <w14:schemeClr w14:val="tx1"/>
            </w14:solidFill>
          </w14:textFill>
        </w:rPr>
        <w:t>招标公告</w:t>
      </w:r>
      <w:r>
        <w:rPr>
          <w:rFonts w:hint="eastAsia" w:ascii="宋体" w:hAnsi="宋体" w:eastAsia="宋体" w:cs="宋体"/>
          <w:color w:val="000000" w:themeColor="text1"/>
          <w:sz w:val="21"/>
          <w:szCs w:val="21"/>
          <w:highlight w:val="none"/>
          <w14:textFill>
            <w14:solidFill>
              <w14:schemeClr w14:val="tx1"/>
            </w14:solidFill>
          </w14:textFill>
        </w:rPr>
        <w:t>发布媒体上公告通知所有投标人。</w:t>
      </w:r>
    </w:p>
    <w:p w14:paraId="08F65495">
      <w:pPr>
        <w:pStyle w:val="3"/>
        <w:pageBreakBefore w:val="0"/>
        <w:kinsoku/>
        <w:topLinePunct w:val="0"/>
        <w:bidi w:val="0"/>
        <w:snapToGrid/>
        <w:spacing w:before="0" w:after="0" w:line="360" w:lineRule="auto"/>
        <w:jc w:val="left"/>
        <w:rPr>
          <w:rFonts w:hint="eastAsia" w:ascii="宋体" w:hAnsi="宋体" w:eastAsia="宋体" w:cs="宋体"/>
          <w:bCs w:val="0"/>
          <w:color w:val="000000" w:themeColor="text1"/>
          <w:sz w:val="21"/>
          <w:szCs w:val="21"/>
          <w:highlight w:val="none"/>
          <w:lang w:val="zh-CN"/>
          <w14:textFill>
            <w14:solidFill>
              <w14:schemeClr w14:val="tx1"/>
            </w14:solidFill>
          </w14:textFill>
        </w:rPr>
      </w:pPr>
      <w:bookmarkStart w:id="54" w:name="_Toc3158"/>
      <w:bookmarkStart w:id="55" w:name="_Toc22023"/>
      <w:bookmarkStart w:id="56" w:name="_Toc11677"/>
      <w:bookmarkStart w:id="57" w:name="_Toc10412"/>
      <w:bookmarkStart w:id="58" w:name="_Toc21710"/>
      <w:bookmarkStart w:id="59" w:name="_Toc31424"/>
      <w:bookmarkStart w:id="60" w:name="_Toc23645"/>
      <w:r>
        <w:rPr>
          <w:rFonts w:hint="eastAsia" w:ascii="宋体" w:hAnsi="宋体" w:eastAsia="宋体" w:cs="宋体"/>
          <w:bCs w:val="0"/>
          <w:color w:val="000000" w:themeColor="text1"/>
          <w:sz w:val="21"/>
          <w:szCs w:val="21"/>
          <w:highlight w:val="none"/>
          <w:lang w:val="zh-CN"/>
          <w14:textFill>
            <w14:solidFill>
              <w14:schemeClr w14:val="tx1"/>
            </w14:solidFill>
          </w14:textFill>
        </w:rPr>
        <w:t>五、定标</w:t>
      </w:r>
      <w:bookmarkEnd w:id="54"/>
      <w:bookmarkEnd w:id="55"/>
      <w:bookmarkEnd w:id="56"/>
      <w:bookmarkEnd w:id="57"/>
      <w:bookmarkEnd w:id="58"/>
      <w:bookmarkEnd w:id="59"/>
      <w:bookmarkEnd w:id="60"/>
    </w:p>
    <w:p w14:paraId="440AD351">
      <w:pPr>
        <w:pageBreakBefore w:val="0"/>
        <w:kinsoku/>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lang w:val="zh-CN"/>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（一）确定中标单位</w:t>
      </w:r>
    </w:p>
    <w:p w14:paraId="1DCA5555">
      <w:pPr>
        <w:pageBreakBefore w:val="0"/>
        <w:kinsoku/>
        <w:topLinePunct w:val="0"/>
        <w:bidi w:val="0"/>
        <w:snapToGrid/>
        <w:spacing w:line="360" w:lineRule="auto"/>
        <w:ind w:firstLine="420" w:firstLineChars="200"/>
        <w:rPr>
          <w:rFonts w:hint="eastAsia" w:ascii="宋体" w:hAnsi="宋体" w:eastAsia="宋体" w:cs="宋体"/>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0"/>
          <w:szCs w:val="21"/>
          <w:highlight w:val="none"/>
          <w14:textFill>
            <w14:solidFill>
              <w14:schemeClr w14:val="tx1"/>
            </w14:solidFill>
          </w14:textFill>
        </w:rPr>
        <w:t>评标委员会按综合得分由高到低排序，</w:t>
      </w:r>
      <w:r>
        <w:rPr>
          <w:rFonts w:hint="eastAsia" w:ascii="宋体" w:hAnsi="宋体" w:eastAsia="宋体" w:cs="宋体"/>
          <w:color w:val="000000" w:themeColor="text1"/>
          <w:kern w:val="0"/>
          <w:szCs w:val="21"/>
          <w:highlight w:val="none"/>
          <w14:textFill>
            <w14:solidFill>
              <w14:schemeClr w14:val="tx1"/>
            </w14:solidFill>
          </w14:textFill>
        </w:rPr>
        <w:t>得分排名前</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名的投标人为中标</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候选人</w:t>
      </w:r>
      <w:r>
        <w:rPr>
          <w:rFonts w:hint="eastAsia" w:ascii="宋体" w:hAnsi="宋体" w:eastAsia="宋体" w:cs="宋体"/>
          <w:bCs/>
          <w:color w:val="000000" w:themeColor="text1"/>
          <w:kern w:val="0"/>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代理机构在评标结束后2个工作日内将评标报告提交</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bCs/>
          <w:color w:val="000000" w:themeColor="text1"/>
          <w:kern w:val="0"/>
          <w:sz w:val="21"/>
          <w:szCs w:val="21"/>
          <w:highlight w:val="none"/>
          <w14:textFill>
            <w14:solidFill>
              <w14:schemeClr w14:val="tx1"/>
            </w14:solidFill>
          </w14:textFill>
        </w:rPr>
        <w:t>依法确认，</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应在收到评标报告后5个工作日内对评标结果进行确认。</w:t>
      </w:r>
      <w:r>
        <w:rPr>
          <w:rFonts w:hint="eastAsia" w:ascii="宋体" w:hAnsi="宋体" w:eastAsia="宋体" w:cs="宋体"/>
          <w:bCs/>
          <w:color w:val="000000" w:themeColor="text1"/>
          <w:kern w:val="0"/>
          <w:sz w:val="21"/>
          <w:szCs w:val="21"/>
          <w:highlight w:val="none"/>
          <w14:textFill>
            <w14:solidFill>
              <w14:schemeClr w14:val="tx1"/>
            </w14:solidFill>
          </w14:textFill>
        </w:rPr>
        <w:t>取得</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bCs/>
          <w:color w:val="000000" w:themeColor="text1"/>
          <w:kern w:val="0"/>
          <w:sz w:val="21"/>
          <w:szCs w:val="21"/>
          <w:highlight w:val="none"/>
          <w14:textFill>
            <w14:solidFill>
              <w14:schemeClr w14:val="tx1"/>
            </w14:solidFill>
          </w14:textFill>
        </w:rPr>
        <w:t>书面确认意见</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的</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2个工作日内</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代理机构将招标结果通知所有</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投标人，并</w:t>
      </w:r>
      <w:r>
        <w:rPr>
          <w:rFonts w:hint="eastAsia" w:ascii="宋体" w:hAnsi="宋体" w:eastAsia="宋体" w:cs="宋体"/>
          <w:bCs/>
          <w:color w:val="000000" w:themeColor="text1"/>
          <w:kern w:val="0"/>
          <w:sz w:val="21"/>
          <w:szCs w:val="21"/>
          <w:highlight w:val="none"/>
          <w14:textFill>
            <w14:solidFill>
              <w14:schemeClr w14:val="tx1"/>
            </w14:solidFill>
          </w14:textFill>
        </w:rPr>
        <w:t>在</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原招标公告</w:t>
      </w:r>
      <w:r>
        <w:rPr>
          <w:rFonts w:hint="eastAsia" w:ascii="宋体" w:hAnsi="宋体" w:eastAsia="宋体" w:cs="宋体"/>
          <w:bCs/>
          <w:color w:val="000000" w:themeColor="text1"/>
          <w:kern w:val="0"/>
          <w:sz w:val="21"/>
          <w:szCs w:val="21"/>
          <w:highlight w:val="none"/>
          <w14:textFill>
            <w14:solidFill>
              <w14:schemeClr w14:val="tx1"/>
            </w14:solidFill>
          </w14:textFill>
        </w:rPr>
        <w:t>发布媒体上对</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结果进行公告，</w:t>
      </w:r>
      <w:r>
        <w:rPr>
          <w:rFonts w:hint="eastAsia" w:ascii="宋体" w:hAnsi="宋体" w:eastAsia="宋体" w:cs="宋体"/>
          <w:color w:val="000000" w:themeColor="text1"/>
          <w:sz w:val="21"/>
          <w:szCs w:val="21"/>
          <w:highlight w:val="none"/>
          <w14:textFill>
            <w14:solidFill>
              <w14:schemeClr w14:val="tx1"/>
            </w14:solidFill>
          </w14:textFill>
        </w:rPr>
        <w:t>期限为公告发布之日起至第2个工作日止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招标结果生效后，</w:t>
      </w:r>
      <w:r>
        <w:rPr>
          <w:rFonts w:hint="eastAsia" w:ascii="宋体" w:hAnsi="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在2个工作日内，向中标单位发出中标通知书，并将招标结果通知所有</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w:t>
      </w:r>
    </w:p>
    <w:p w14:paraId="3DDAF790">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如某</w:t>
      </w:r>
      <w:r>
        <w:rPr>
          <w:rFonts w:hint="eastAsia" w:ascii="宋体" w:hAnsi="宋体" w:eastAsia="宋体" w:cs="宋体"/>
          <w:color w:val="000000" w:themeColor="text1"/>
          <w:sz w:val="21"/>
          <w:szCs w:val="21"/>
          <w:highlight w:val="none"/>
          <w14:textFill>
            <w14:solidFill>
              <w14:schemeClr w14:val="tx1"/>
            </w14:solidFill>
          </w14:textFill>
        </w:rPr>
        <w:t>中标候选人出现下列情形之一的，</w:t>
      </w:r>
      <w:r>
        <w:rPr>
          <w:rFonts w:hint="eastAsia" w:ascii="宋体" w:hAnsi="宋体" w:eastAsia="宋体" w:cs="宋体"/>
          <w:color w:val="000000" w:themeColor="text1"/>
          <w:sz w:val="21"/>
          <w:szCs w:val="21"/>
          <w:highlight w:val="none"/>
          <w:lang w:eastAsia="zh-CN"/>
          <w14:textFill>
            <w14:solidFill>
              <w14:schemeClr w14:val="tx1"/>
            </w14:solidFill>
          </w14:textFill>
        </w:rPr>
        <w:t>招标人可</w:t>
      </w:r>
      <w:r>
        <w:rPr>
          <w:rFonts w:hint="eastAsia" w:ascii="宋体" w:hAnsi="宋体" w:eastAsia="宋体" w:cs="宋体"/>
          <w:color w:val="000000" w:themeColor="text1"/>
          <w:sz w:val="21"/>
          <w:szCs w:val="21"/>
          <w:highlight w:val="none"/>
          <w14:textFill>
            <w14:solidFill>
              <w14:schemeClr w14:val="tx1"/>
            </w14:solidFill>
          </w14:textFill>
        </w:rPr>
        <w:t>按照评标报告的</w:t>
      </w:r>
      <w:r>
        <w:rPr>
          <w:rFonts w:hint="eastAsia" w:ascii="宋体" w:hAnsi="宋体" w:eastAsia="宋体" w:cs="宋体"/>
          <w:color w:val="000000" w:themeColor="text1"/>
          <w:sz w:val="21"/>
          <w:szCs w:val="21"/>
          <w:highlight w:val="none"/>
          <w:lang w:eastAsia="zh-CN"/>
          <w14:textFill>
            <w14:solidFill>
              <w14:schemeClr w14:val="tx1"/>
            </w14:solidFill>
          </w14:textFill>
        </w:rPr>
        <w:t>综合得分</w:t>
      </w:r>
      <w:r>
        <w:rPr>
          <w:rFonts w:hint="eastAsia" w:ascii="宋体" w:hAnsi="宋体" w:eastAsia="宋体" w:cs="宋体"/>
          <w:color w:val="000000" w:themeColor="text1"/>
          <w:sz w:val="21"/>
          <w:szCs w:val="21"/>
          <w:highlight w:val="none"/>
          <w14:textFill>
            <w14:solidFill>
              <w14:schemeClr w14:val="tx1"/>
            </w14:solidFill>
          </w14:textFill>
        </w:rPr>
        <w:t>排序，确定</w:t>
      </w:r>
      <w:r>
        <w:rPr>
          <w:rFonts w:hint="eastAsia" w:ascii="宋体" w:hAnsi="宋体" w:eastAsia="宋体" w:cs="宋体"/>
          <w:color w:val="000000" w:themeColor="text1"/>
          <w:sz w:val="21"/>
          <w:szCs w:val="21"/>
          <w:highlight w:val="none"/>
          <w:lang w:eastAsia="zh-CN"/>
          <w14:textFill>
            <w14:solidFill>
              <w14:schemeClr w14:val="tx1"/>
            </w14:solidFill>
          </w14:textFill>
        </w:rPr>
        <w:t>排名次之的单位替换该</w:t>
      </w:r>
      <w:r>
        <w:rPr>
          <w:rFonts w:hint="eastAsia" w:ascii="宋体" w:hAnsi="宋体" w:eastAsia="宋体" w:cs="宋体"/>
          <w:color w:val="000000" w:themeColor="text1"/>
          <w:sz w:val="21"/>
          <w:szCs w:val="21"/>
          <w:highlight w:val="none"/>
          <w14:textFill>
            <w14:solidFill>
              <w14:schemeClr w14:val="tx1"/>
            </w14:solidFill>
          </w14:textFill>
        </w:rPr>
        <w:t>中标</w:t>
      </w:r>
      <w:r>
        <w:rPr>
          <w:rFonts w:hint="eastAsia" w:ascii="宋体" w:hAnsi="宋体" w:eastAsia="宋体" w:cs="宋体"/>
          <w:color w:val="000000" w:themeColor="text1"/>
          <w:sz w:val="21"/>
          <w:szCs w:val="21"/>
          <w:highlight w:val="none"/>
          <w:lang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如</w:t>
      </w:r>
      <w:r>
        <w:rPr>
          <w:rFonts w:hint="eastAsia" w:ascii="宋体" w:hAnsi="宋体" w:eastAsia="宋体" w:cs="宋体"/>
          <w:color w:val="000000" w:themeColor="text1"/>
          <w:sz w:val="21"/>
          <w:szCs w:val="21"/>
          <w:highlight w:val="none"/>
          <w:lang w:eastAsia="zh-CN"/>
          <w14:textFill>
            <w14:solidFill>
              <w14:schemeClr w14:val="tx1"/>
            </w14:solidFill>
          </w14:textFill>
        </w:rPr>
        <w:t>其余投标人</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项目预期（价格、质量等）差距较大，对</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明显不利的，</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将重新组织</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w:t>
      </w:r>
    </w:p>
    <w:p w14:paraId="54214634">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（1）因不可抗力或者自身原因不能履行合同的；</w:t>
      </w:r>
    </w:p>
    <w:p w14:paraId="72B7531B">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（2）经过处理投诉举报、监督检查，认定中标结果无效的；</w:t>
      </w:r>
    </w:p>
    <w:p w14:paraId="4395CF44">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（3）中标人拒绝与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签订合同或无法按照投标文件承诺的条件与</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签订合同的。</w:t>
      </w:r>
    </w:p>
    <w:p w14:paraId="1C386C3C">
      <w:pPr>
        <w:pageBreakBefore w:val="0"/>
        <w:kinsoku/>
        <w:topLinePunct w:val="0"/>
        <w:autoSpaceDE w:val="0"/>
        <w:autoSpaceDN w:val="0"/>
        <w:bidi w:val="0"/>
        <w:adjustRightInd w:val="0"/>
        <w:snapToGrid/>
        <w:spacing w:line="360" w:lineRule="auto"/>
        <w:ind w:firstLine="315" w:firstLine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（二）质疑或投诉</w:t>
      </w:r>
    </w:p>
    <w:p w14:paraId="04B29209">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 w:val="21"/>
          <w:szCs w:val="21"/>
          <w:highlight w:val="none"/>
          <w14:textFill>
            <w14:solidFill>
              <w14:schemeClr w14:val="tx1"/>
            </w14:solidFill>
          </w14:textFill>
        </w:rPr>
        <w:t>认为</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过程和</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结果使自己的权益受到损害的，可以在知道或者应知其权益受到损害之日起</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2个工作日</w:t>
      </w:r>
      <w:r>
        <w:rPr>
          <w:rFonts w:hint="eastAsia" w:ascii="宋体" w:hAnsi="宋体" w:eastAsia="宋体" w:cs="宋体"/>
          <w:bCs/>
          <w:color w:val="000000" w:themeColor="text1"/>
          <w:kern w:val="0"/>
          <w:sz w:val="21"/>
          <w:szCs w:val="21"/>
          <w:highlight w:val="none"/>
          <w14:textFill>
            <w14:solidFill>
              <w14:schemeClr w14:val="tx1"/>
            </w14:solidFill>
          </w14:textFill>
        </w:rPr>
        <w:t>内，以书面形式向</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招标人</w:t>
      </w:r>
      <w:r>
        <w:rPr>
          <w:rFonts w:hint="eastAsia" w:ascii="宋体" w:hAnsi="宋体" w:eastAsia="宋体" w:cs="宋体"/>
          <w:bCs/>
          <w:color w:val="000000" w:themeColor="text1"/>
          <w:kern w:val="0"/>
          <w:sz w:val="21"/>
          <w:szCs w:val="21"/>
          <w:highlight w:val="none"/>
          <w14:textFill>
            <w14:solidFill>
              <w14:schemeClr w14:val="tx1"/>
            </w14:solidFill>
          </w14:textFill>
        </w:rPr>
        <w:t>或</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代理机构提出质疑</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以扫描件形式发送至</w:t>
      </w:r>
      <w:r>
        <w:rPr>
          <w:rFonts w:hint="eastAsia" w:ascii="宋体" w:hAnsi="宋体" w:eastAsia="宋体" w:cs="宋体"/>
          <w:bCs/>
          <w:color w:val="000000" w:themeColor="text1"/>
          <w:sz w:val="21"/>
          <w:szCs w:val="21"/>
          <w:highlight w:val="none"/>
          <w:u w:val="single"/>
          <w14:textFill>
            <w14:solidFill>
              <w14:schemeClr w14:val="tx1"/>
            </w14:solidFill>
          </w14:textFill>
        </w:rPr>
        <w:fldChar w:fldCharType="begin"/>
      </w:r>
      <w:r>
        <w:rPr>
          <w:rFonts w:hint="eastAsia" w:ascii="宋体" w:hAnsi="宋体" w:eastAsia="宋体" w:cs="宋体"/>
          <w:bCs/>
          <w:color w:val="000000" w:themeColor="text1"/>
          <w:sz w:val="21"/>
          <w:szCs w:val="21"/>
          <w:highlight w:val="none"/>
          <w:u w:val="single"/>
          <w14:textFill>
            <w14:solidFill>
              <w14:schemeClr w14:val="tx1"/>
            </w14:solidFill>
          </w14:textFill>
        </w:rPr>
        <w:instrText xml:space="preserve"> HYPERLINK "mailto:1653374491@qq.com" </w:instrText>
      </w:r>
      <w:r>
        <w:rPr>
          <w:rFonts w:hint="eastAsia" w:ascii="宋体" w:hAnsi="宋体" w:eastAsia="宋体" w:cs="宋体"/>
          <w:bCs/>
          <w:color w:val="000000" w:themeColor="text1"/>
          <w:sz w:val="21"/>
          <w:szCs w:val="21"/>
          <w:highlight w:val="none"/>
          <w:u w:val="single"/>
          <w14:textFill>
            <w14:solidFill>
              <w14:schemeClr w14:val="tx1"/>
            </w14:solidFill>
          </w14:textFill>
        </w:rPr>
        <w:fldChar w:fldCharType="separate"/>
      </w:r>
      <w:r>
        <w:rPr>
          <w:rStyle w:val="19"/>
          <w:rFonts w:hint="eastAsia" w:ascii="宋体" w:hAnsi="宋体" w:cs="宋体"/>
          <w:bCs/>
          <w:color w:val="000000" w:themeColor="text1"/>
          <w:sz w:val="21"/>
          <w:szCs w:val="21"/>
          <w:highlight w:val="none"/>
          <w:lang w:val="en-US" w:eastAsia="zh-CN"/>
          <w14:textFill>
            <w14:solidFill>
              <w14:schemeClr w14:val="tx1"/>
            </w14:solidFill>
          </w14:textFill>
        </w:rPr>
        <w:t>1104603685</w:t>
      </w:r>
      <w:r>
        <w:rPr>
          <w:rStyle w:val="19"/>
          <w:rFonts w:hint="eastAsia" w:ascii="宋体" w:hAnsi="宋体" w:eastAsia="宋体" w:cs="宋体"/>
          <w:bCs/>
          <w:color w:val="000000" w:themeColor="text1"/>
          <w:sz w:val="21"/>
          <w:szCs w:val="21"/>
          <w:highlight w:val="none"/>
          <w14:textFill>
            <w14:solidFill>
              <w14:schemeClr w14:val="tx1"/>
            </w14:solidFill>
          </w14:textFill>
        </w:rPr>
        <w:t>@qq.com</w:t>
      </w:r>
      <w:r>
        <w:rPr>
          <w:rFonts w:hint="eastAsia" w:ascii="宋体" w:hAnsi="宋体" w:eastAsia="宋体" w:cs="宋体"/>
          <w:bCs/>
          <w:color w:val="000000" w:themeColor="text1"/>
          <w:sz w:val="21"/>
          <w:szCs w:val="21"/>
          <w:highlight w:val="none"/>
          <w:u w:val="single"/>
          <w14:textFill>
            <w14:solidFill>
              <w14:schemeClr w14:val="tx1"/>
            </w14:solidFill>
          </w14:textFill>
        </w:rPr>
        <w:fldChar w:fldCharType="end"/>
      </w:r>
      <w:r>
        <w:rPr>
          <w:rFonts w:hint="eastAsia" w:ascii="宋体" w:hAnsi="宋体" w:eastAsia="宋体" w:cs="宋体"/>
          <w:bCs/>
          <w:color w:val="000000" w:themeColor="text1"/>
          <w:sz w:val="21"/>
          <w:szCs w:val="21"/>
          <w:highlight w:val="none"/>
          <w14:textFill>
            <w14:solidFill>
              <w14:schemeClr w14:val="tx1"/>
            </w14:solidFill>
          </w14:textFill>
        </w:rPr>
        <w:t>，同时将要求答疑内容的纸质文件（一式三份）邮寄至</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浙江省常山县定阳南路</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813号8楼</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泰宇咨询</w:t>
      </w:r>
      <w:r>
        <w:rPr>
          <w:rFonts w:hint="eastAsia" w:ascii="宋体" w:hAnsi="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谭柏梅</w:t>
      </w:r>
      <w:r>
        <w:rPr>
          <w:rFonts w:hint="eastAsia" w:ascii="宋体" w:hAnsi="宋体" w:eastAsia="宋体" w:cs="宋体"/>
          <w:bCs/>
          <w:color w:val="000000" w:themeColor="text1"/>
          <w:kern w:val="0"/>
          <w:sz w:val="21"/>
          <w:szCs w:val="21"/>
          <w:highlight w:val="none"/>
          <w14:textFill>
            <w14:solidFill>
              <w14:schemeClr w14:val="tx1"/>
            </w14:solidFill>
          </w14:textFill>
        </w:rPr>
        <w:t>收</w:t>
      </w:r>
      <w:r>
        <w:rPr>
          <w:rFonts w:hint="eastAsia" w:ascii="宋体" w:hAnsi="宋体" w:eastAsia="宋体" w:cs="宋体"/>
          <w:bCs/>
          <w:color w:val="000000" w:themeColor="text1"/>
          <w:sz w:val="21"/>
          <w:szCs w:val="21"/>
          <w:highlight w:val="none"/>
          <w:u w:val="none"/>
          <w14:textFill>
            <w14:solidFill>
              <w14:schemeClr w14:val="tx1"/>
            </w14:solidFill>
          </w14:textFill>
        </w:rPr>
        <w:t>。电</w:t>
      </w:r>
      <w:r>
        <w:rPr>
          <w:rFonts w:hint="eastAsia" w:ascii="宋体" w:hAnsi="宋体" w:eastAsia="宋体" w:cs="宋体"/>
          <w:bCs/>
          <w:color w:val="000000" w:themeColor="text1"/>
          <w:sz w:val="21"/>
          <w:szCs w:val="21"/>
          <w:highlight w:val="none"/>
          <w14:textFill>
            <w14:solidFill>
              <w14:schemeClr w14:val="tx1"/>
            </w14:solidFill>
          </w14:textFill>
        </w:rPr>
        <w:t>子邮件与纸质文件内容不一致的，以纸质文件为准。</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针对同一</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程序环节的质疑，</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应在法定期限内一次性提出（即针对同一</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程序环节的质疑</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代理机构仅受理一次），逾期提出或针对同一</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程序环节多次提出的质疑将不予受理、答复。</w:t>
      </w:r>
    </w:p>
    <w:p w14:paraId="1662E6DC">
      <w:pPr>
        <w:pageBreakBefore w:val="0"/>
        <w:kinsoku/>
        <w:topLinePunct w:val="0"/>
        <w:bidi w:val="0"/>
        <w:snapToGrid/>
        <w:spacing w:line="36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对</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代理机构的质疑答复不满意或者</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和</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代理机构未在规定时间内作出答复的，可以在答复期满后</w:t>
      </w:r>
      <w:r>
        <w:rPr>
          <w:rFonts w:hint="eastAsia" w:ascii="宋体" w:hAnsi="宋体" w:eastAsia="宋体" w:cs="宋体"/>
          <w:color w:val="000000" w:themeColor="text1"/>
          <w:sz w:val="21"/>
          <w:szCs w:val="21"/>
          <w:highlight w:val="none"/>
          <w:lang w:val="en-US" w:eastAsia="zh-CN"/>
          <w14:textFill>
            <w14:solidFill>
              <w14:schemeClr w14:val="tx1"/>
            </w14:solidFill>
          </w14:textFill>
        </w:rPr>
        <w:t>2个工作日</w:t>
      </w:r>
      <w:r>
        <w:rPr>
          <w:rFonts w:hint="eastAsia" w:ascii="宋体" w:hAnsi="宋体" w:eastAsia="宋体" w:cs="宋体"/>
          <w:color w:val="000000" w:themeColor="text1"/>
          <w:sz w:val="21"/>
          <w:szCs w:val="21"/>
          <w:highlight w:val="none"/>
          <w14:textFill>
            <w14:solidFill>
              <w14:schemeClr w14:val="tx1"/>
            </w14:solidFill>
          </w14:textFill>
        </w:rPr>
        <w:t>内向行政主管部门和同级纪检、监察部门投诉。</w:t>
      </w:r>
    </w:p>
    <w:p w14:paraId="6F37B76E">
      <w:pPr>
        <w:pageBreakBefore w:val="0"/>
        <w:kinsoku/>
        <w:topLinePunct w:val="0"/>
        <w:bidi w:val="0"/>
        <w:snapToGrid/>
        <w:spacing w:line="36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投标人</w:t>
      </w:r>
      <w:r>
        <w:rPr>
          <w:rFonts w:hint="eastAsia" w:ascii="宋体" w:hAnsi="宋体" w:eastAsia="宋体" w:cs="宋体"/>
          <w:bCs/>
          <w:color w:val="000000" w:themeColor="text1"/>
          <w:kern w:val="0"/>
          <w:sz w:val="21"/>
          <w:szCs w:val="21"/>
          <w:highlight w:val="none"/>
          <w14:textFill>
            <w14:solidFill>
              <w14:schemeClr w14:val="tx1"/>
            </w14:solidFill>
          </w14:textFill>
        </w:rPr>
        <w:t>应知其权益受到损害之日，是指：</w:t>
      </w:r>
    </w:p>
    <w:p w14:paraId="616A5833">
      <w:pPr>
        <w:pageBreakBefore w:val="0"/>
        <w:kinsoku/>
        <w:topLinePunct w:val="0"/>
        <w:bidi w:val="0"/>
        <w:snapToGrid/>
        <w:spacing w:line="36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（1）对可以质疑的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kern w:val="0"/>
          <w:sz w:val="21"/>
          <w:szCs w:val="21"/>
          <w:highlight w:val="none"/>
          <w14:textFill>
            <w14:solidFill>
              <w14:schemeClr w14:val="tx1"/>
            </w14:solidFill>
          </w14:textFill>
        </w:rPr>
        <w:t>提出质疑的，为</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kern w:val="0"/>
          <w:sz w:val="21"/>
          <w:szCs w:val="21"/>
          <w:highlight w:val="none"/>
          <w14:textFill>
            <w14:solidFill>
              <w14:schemeClr w14:val="tx1"/>
            </w14:solidFill>
          </w14:textFill>
        </w:rPr>
        <w:t>公告期限届满之日；</w:t>
      </w:r>
    </w:p>
    <w:p w14:paraId="02842DEC">
      <w:pPr>
        <w:pageBreakBefore w:val="0"/>
        <w:kinsoku/>
        <w:topLinePunct w:val="0"/>
        <w:bidi w:val="0"/>
        <w:snapToGrid/>
        <w:spacing w:line="36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（2）对</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过程提出质疑的，为各</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程序环节结束之日；</w:t>
      </w:r>
    </w:p>
    <w:p w14:paraId="421BDC42">
      <w:pPr>
        <w:pageBreakBefore w:val="0"/>
        <w:kinsoku/>
        <w:topLinePunct w:val="0"/>
        <w:bidi w:val="0"/>
        <w:snapToGrid/>
        <w:spacing w:line="360" w:lineRule="auto"/>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（3）对</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kern w:val="0"/>
          <w:sz w:val="21"/>
          <w:szCs w:val="21"/>
          <w:highlight w:val="none"/>
          <w14:textFill>
            <w14:solidFill>
              <w14:schemeClr w14:val="tx1"/>
            </w14:solidFill>
          </w14:textFill>
        </w:rPr>
        <w:t>结果提出质疑的，为中标结果公告期限届满之日。</w:t>
      </w:r>
    </w:p>
    <w:p w14:paraId="4E879C43">
      <w:pPr>
        <w:pageBreakBefore w:val="0"/>
        <w:kinsoku/>
        <w:topLinePunct w:val="0"/>
        <w:bidi w:val="0"/>
        <w:snapToGrid/>
        <w:spacing w:line="360" w:lineRule="auto"/>
        <w:ind w:firstLine="420" w:firstLineChars="200"/>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sz w:val="21"/>
          <w:szCs w:val="21"/>
          <w:highlight w:val="none"/>
          <w14:textFill>
            <w14:solidFill>
              <w14:schemeClr w14:val="tx1"/>
            </w14:solidFill>
          </w14:textFill>
        </w:rPr>
        <w:t>.质疑、投诉应当采用书面形式（质疑函、投诉书格式以财政部制定的范本为准），质疑函、投诉书均应明确阐述</w:t>
      </w:r>
      <w:r>
        <w:rPr>
          <w:rFonts w:hint="eastAsia" w:ascii="宋体" w:hAnsi="宋体" w:eastAsia="宋体" w:cs="宋体"/>
          <w:bCs/>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sz w:val="21"/>
          <w:szCs w:val="21"/>
          <w:highlight w:val="none"/>
          <w14:textFill>
            <w14:solidFill>
              <w14:schemeClr w14:val="tx1"/>
            </w14:solidFill>
          </w14:textFill>
        </w:rPr>
        <w:t>过程或</w:t>
      </w:r>
      <w:r>
        <w:rPr>
          <w:rFonts w:hint="eastAsia" w:ascii="宋体" w:hAnsi="宋体" w:eastAsia="宋体" w:cs="宋体"/>
          <w:bCs/>
          <w:color w:val="000000" w:themeColor="text1"/>
          <w:sz w:val="21"/>
          <w:szCs w:val="21"/>
          <w:highlight w:val="none"/>
          <w:lang w:eastAsia="zh-CN"/>
          <w14:textFill>
            <w14:solidFill>
              <w14:schemeClr w14:val="tx1"/>
            </w14:solidFill>
          </w14:textFill>
        </w:rPr>
        <w:t>招标</w:t>
      </w:r>
      <w:r>
        <w:rPr>
          <w:rFonts w:hint="eastAsia" w:ascii="宋体" w:hAnsi="宋体" w:eastAsia="宋体" w:cs="宋体"/>
          <w:bCs/>
          <w:color w:val="000000" w:themeColor="text1"/>
          <w:sz w:val="21"/>
          <w:szCs w:val="21"/>
          <w:highlight w:val="none"/>
          <w14:textFill>
            <w14:solidFill>
              <w14:schemeClr w14:val="tx1"/>
            </w14:solidFill>
          </w14:textFill>
        </w:rPr>
        <w:t>结果中使自己权益受到损害的实质性内容，提供相关事实、依据和证据及其来源或线索，便于有关单位调查、答复和处理。</w:t>
      </w:r>
    </w:p>
    <w:p w14:paraId="0308D6DC">
      <w:pPr>
        <w:pStyle w:val="3"/>
        <w:pageBreakBefore w:val="0"/>
        <w:kinsoku/>
        <w:topLinePunct w:val="0"/>
        <w:bidi w:val="0"/>
        <w:snapToGrid/>
        <w:spacing w:before="0" w:after="0" w:line="360" w:lineRule="auto"/>
        <w:jc w:val="left"/>
        <w:rPr>
          <w:rFonts w:hint="eastAsia" w:ascii="宋体" w:hAnsi="宋体" w:eastAsia="宋体" w:cs="宋体"/>
          <w:bCs w:val="0"/>
          <w:color w:val="000000" w:themeColor="text1"/>
          <w:sz w:val="21"/>
          <w:szCs w:val="21"/>
          <w:highlight w:val="none"/>
          <w:lang w:val="zh-CN"/>
          <w14:textFill>
            <w14:solidFill>
              <w14:schemeClr w14:val="tx1"/>
            </w14:solidFill>
          </w14:textFill>
        </w:rPr>
      </w:pPr>
      <w:bookmarkStart w:id="61" w:name="_Toc8350"/>
      <w:bookmarkStart w:id="62" w:name="_Toc3663"/>
      <w:bookmarkStart w:id="63" w:name="_Toc4877"/>
      <w:bookmarkStart w:id="64" w:name="_Toc22417"/>
      <w:bookmarkStart w:id="65" w:name="_Toc1667"/>
      <w:bookmarkStart w:id="66" w:name="_Toc17937"/>
      <w:bookmarkStart w:id="67" w:name="_Toc20032"/>
      <w:r>
        <w:rPr>
          <w:rFonts w:hint="eastAsia" w:ascii="宋体" w:hAnsi="宋体" w:eastAsia="宋体" w:cs="宋体"/>
          <w:bCs w:val="0"/>
          <w:color w:val="000000" w:themeColor="text1"/>
          <w:sz w:val="21"/>
          <w:szCs w:val="21"/>
          <w:highlight w:val="none"/>
          <w:lang w:val="zh-CN"/>
          <w14:textFill>
            <w14:solidFill>
              <w14:schemeClr w14:val="tx1"/>
            </w14:solidFill>
          </w14:textFill>
        </w:rPr>
        <w:t>六、合同授予</w:t>
      </w:r>
      <w:bookmarkEnd w:id="61"/>
      <w:bookmarkEnd w:id="62"/>
      <w:bookmarkEnd w:id="63"/>
      <w:bookmarkEnd w:id="64"/>
      <w:bookmarkEnd w:id="65"/>
      <w:bookmarkEnd w:id="66"/>
      <w:bookmarkEnd w:id="67"/>
    </w:p>
    <w:p w14:paraId="648FE14C">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bookmarkStart w:id="68" w:name="_Toc31240_WPSOffice_Level1"/>
      <w:bookmarkStart w:id="69" w:name="_Toc18324"/>
      <w:bookmarkStart w:id="70" w:name="_Toc3253"/>
      <w:bookmarkStart w:id="71" w:name="_Toc21952"/>
      <w:bookmarkStart w:id="72" w:name="_Toc17547"/>
      <w:bookmarkStart w:id="73" w:name="_Toc11177"/>
      <w:bookmarkStart w:id="74" w:name="_Toc1959"/>
      <w:bookmarkStart w:id="75" w:name="_Toc31350"/>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lang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与</w:t>
      </w:r>
      <w:r>
        <w:rPr>
          <w:rFonts w:hint="eastAsia" w:ascii="宋体" w:hAnsi="宋体" w:eastAsia="宋体" w:cs="宋体"/>
          <w:color w:val="000000" w:themeColor="text1"/>
          <w:sz w:val="21"/>
          <w:szCs w:val="21"/>
          <w:highlight w:val="none"/>
          <w:lang w:eastAsia="zh-CN"/>
          <w14:textFill>
            <w14:solidFill>
              <w14:schemeClr w14:val="tx1"/>
            </w14:solidFill>
          </w14:textFill>
        </w:rPr>
        <w:t>中标单位</w:t>
      </w:r>
      <w:r>
        <w:rPr>
          <w:rFonts w:hint="eastAsia" w:ascii="宋体" w:hAnsi="宋体" w:eastAsia="宋体" w:cs="宋体"/>
          <w:color w:val="000000" w:themeColor="text1"/>
          <w:sz w:val="21"/>
          <w:szCs w:val="21"/>
          <w:highlight w:val="none"/>
          <w14:textFill>
            <w14:solidFill>
              <w14:schemeClr w14:val="tx1"/>
            </w14:solidFill>
          </w14:textFill>
        </w:rPr>
        <w:t>应当在中标</w:t>
      </w:r>
      <w:r>
        <w:rPr>
          <w:rFonts w:hint="eastAsia" w:ascii="宋体" w:hAnsi="宋体" w:eastAsia="宋体" w:cs="宋体"/>
          <w:color w:val="000000" w:themeColor="text1"/>
          <w:sz w:val="21"/>
          <w:szCs w:val="21"/>
          <w:highlight w:val="none"/>
          <w:lang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日内签订规范的定期存款协议，全面、清晰界定双方权利义务关系。协议内容应包括中标单位提供的具体服务事项、违约责任的处理、双方在确保账户资金安全中的职责、协议变更和终止条件等。</w:t>
      </w:r>
    </w:p>
    <w:p w14:paraId="022EB29E">
      <w:pPr>
        <w:pageBreakBefore w:val="0"/>
        <w:kinsoku/>
        <w:topLinePunct w:val="0"/>
        <w:bidi w:val="0"/>
        <w:snapToGrid/>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2.中标单位在信息系统建设、对账服务、分账核算服务等方面必须有技术支持，另外在相关业务收费方面不得超过其他银行平均收费水平。</w:t>
      </w:r>
    </w:p>
    <w:p w14:paraId="0219073F">
      <w:pPr>
        <w:rPr>
          <w:rStyle w:val="23"/>
          <w:rFonts w:hint="eastAsia" w:ascii="宋体" w:hAnsi="宋体"/>
          <w:color w:val="000000" w:themeColor="text1"/>
          <w:sz w:val="32"/>
          <w:szCs w:val="32"/>
          <w:highlight w:val="none"/>
          <w:lang w:val="zh-CN" w:eastAsia="zh-CN" w:bidi="ar-SA"/>
          <w14:textFill>
            <w14:solidFill>
              <w14:schemeClr w14:val="tx1"/>
            </w14:solidFill>
          </w14:textFill>
        </w:rPr>
      </w:pPr>
      <w:r>
        <w:rPr>
          <w:rStyle w:val="23"/>
          <w:rFonts w:hint="eastAsia" w:ascii="宋体" w:hAnsi="宋体"/>
          <w:color w:val="000000" w:themeColor="text1"/>
          <w:sz w:val="32"/>
          <w:szCs w:val="32"/>
          <w:highlight w:val="none"/>
          <w:lang w:val="zh-CN" w:eastAsia="zh-CN" w:bidi="ar-SA"/>
          <w14:textFill>
            <w14:solidFill>
              <w14:schemeClr w14:val="tx1"/>
            </w14:solidFill>
          </w14:textFill>
        </w:rPr>
        <w:br w:type="page"/>
      </w:r>
    </w:p>
    <w:p w14:paraId="76EEE51B">
      <w:pPr>
        <w:pageBreakBefore w:val="0"/>
        <w:numPr>
          <w:ilvl w:val="0"/>
          <w:numId w:val="0"/>
        </w:numPr>
        <w:kinsoku/>
        <w:topLinePunct w:val="0"/>
        <w:bidi w:val="0"/>
        <w:snapToGrid/>
        <w:spacing w:line="360" w:lineRule="auto"/>
        <w:jc w:val="center"/>
        <w:rPr>
          <w:rFonts w:hint="eastAsia" w:ascii="宋体" w:hAnsi="宋体" w:eastAsia="宋体" w:cs="宋体"/>
          <w:color w:val="000000" w:themeColor="text1"/>
          <w:sz w:val="30"/>
          <w:szCs w:val="32"/>
          <w:highlight w:val="none"/>
          <w:lang w:val="zh-CN" w:eastAsia="zh-CN"/>
          <w14:textFill>
            <w14:solidFill>
              <w14:schemeClr w14:val="tx1"/>
            </w14:solidFill>
          </w14:textFill>
        </w:rPr>
      </w:pPr>
      <w:r>
        <w:rPr>
          <w:rStyle w:val="23"/>
          <w:rFonts w:hint="eastAsia" w:ascii="宋体" w:hAnsi="宋体"/>
          <w:color w:val="000000" w:themeColor="text1"/>
          <w:sz w:val="32"/>
          <w:szCs w:val="32"/>
          <w:highlight w:val="none"/>
          <w:lang w:val="zh-CN" w:eastAsia="zh-CN" w:bidi="ar-SA"/>
          <w14:textFill>
            <w14:solidFill>
              <w14:schemeClr w14:val="tx1"/>
            </w14:solidFill>
          </w14:textFill>
        </w:rPr>
        <w:t>第三章  招标内容及要求</w:t>
      </w:r>
      <w:bookmarkEnd w:id="68"/>
      <w:bookmarkEnd w:id="69"/>
      <w:bookmarkEnd w:id="70"/>
      <w:bookmarkEnd w:id="71"/>
      <w:bookmarkEnd w:id="72"/>
      <w:bookmarkEnd w:id="73"/>
      <w:bookmarkEnd w:id="74"/>
      <w:bookmarkEnd w:id="75"/>
    </w:p>
    <w:p w14:paraId="14196E42">
      <w:pPr>
        <w:pStyle w:val="3"/>
        <w:spacing w:before="0" w:after="0" w:line="300" w:lineRule="auto"/>
        <w:jc w:val="left"/>
        <w:rPr>
          <w:rFonts w:hint="eastAsia" w:ascii="宋体" w:hAnsi="宋体" w:eastAsia="宋体" w:cs="宋体"/>
          <w:b/>
          <w:bCs/>
          <w:color w:val="000000" w:themeColor="text1"/>
          <w:sz w:val="21"/>
          <w:szCs w:val="21"/>
          <w:highlight w:val="none"/>
          <w:lang w:val="zh-CN" w:eastAsia="zh-CN"/>
          <w14:textFill>
            <w14:solidFill>
              <w14:schemeClr w14:val="tx1"/>
            </w14:solidFill>
          </w14:textFill>
        </w:rPr>
      </w:pPr>
      <w:bookmarkStart w:id="76" w:name="_Toc19479"/>
      <w:bookmarkStart w:id="77" w:name="_Toc24249"/>
      <w:bookmarkStart w:id="78" w:name="_Toc11945"/>
      <w:bookmarkStart w:id="79" w:name="_Toc10968"/>
      <w:bookmarkStart w:id="80" w:name="_Toc14615"/>
      <w:bookmarkStart w:id="81" w:name="_Toc17975"/>
      <w:bookmarkStart w:id="82" w:name="_Toc810"/>
      <w:bookmarkStart w:id="83" w:name="_Toc429245628"/>
      <w:bookmarkStart w:id="84" w:name="_Toc12390"/>
      <w:r>
        <w:rPr>
          <w:rFonts w:hint="eastAsia" w:ascii="宋体" w:hAnsi="宋体" w:eastAsia="宋体" w:cs="宋体"/>
          <w:b/>
          <w:bCs/>
          <w:color w:val="000000" w:themeColor="text1"/>
          <w:sz w:val="21"/>
          <w:szCs w:val="21"/>
          <w:highlight w:val="none"/>
          <w:lang w:val="zh-CN" w:eastAsia="zh-CN"/>
          <w14:textFill>
            <w14:solidFill>
              <w14:schemeClr w14:val="tx1"/>
            </w14:solidFill>
          </w14:textFill>
        </w:rPr>
        <w:t>▲一、招标内容</w:t>
      </w:r>
      <w:bookmarkEnd w:id="76"/>
    </w:p>
    <w:p w14:paraId="2C0A6CB8">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1. 存款总额：</w:t>
      </w:r>
      <w:r>
        <w:rPr>
          <w:rFonts w:hint="eastAsia" w:ascii="宋体" w:hAnsi="宋体" w:cs="宋体"/>
          <w:b w:val="0"/>
          <w:bCs/>
          <w:color w:val="000000" w:themeColor="text1"/>
          <w:sz w:val="21"/>
          <w:szCs w:val="21"/>
          <w:highlight w:val="none"/>
          <w:lang w:val="en-US" w:eastAsia="zh-CN"/>
          <w14:textFill>
            <w14:solidFill>
              <w14:schemeClr w14:val="tx1"/>
            </w14:solidFill>
          </w14:textFill>
        </w:rPr>
        <w:t>常山县财政局2025年度第二期财政资金竞争性存放项目，资金共计6.2亿元（半年期1.2亿元）</w:t>
      </w:r>
      <w:r>
        <w:rPr>
          <w:rFonts w:hint="default" w:ascii="宋体" w:hAnsi="宋体" w:cs="宋体"/>
          <w:b w:val="0"/>
          <w:bCs/>
          <w:color w:val="000000" w:themeColor="text1"/>
          <w:sz w:val="21"/>
          <w:szCs w:val="21"/>
          <w:highlight w:val="none"/>
          <w:lang w:val="en-US" w:eastAsia="zh-CN"/>
          <w14:textFill>
            <w14:solidFill>
              <w14:schemeClr w14:val="tx1"/>
            </w14:solidFill>
          </w14:textFill>
        </w:rPr>
        <w:t>。</w:t>
      </w:r>
    </w:p>
    <w:p w14:paraId="4F864EF2">
      <w:pPr>
        <w:keepNext w:val="0"/>
        <w:keepLines w:val="0"/>
        <w:pageBreakBefore w:val="0"/>
        <w:kinsoku/>
        <w:wordWrap/>
        <w:overflowPunct/>
        <w:topLinePunct w:val="0"/>
        <w:autoSpaceDE/>
        <w:autoSpaceDN/>
        <w:bidi w:val="0"/>
        <w:adjustRightInd/>
        <w:snapToGrid/>
        <w:spacing w:line="460" w:lineRule="exact"/>
        <w:ind w:firstLine="420"/>
        <w:textAlignment w:val="baseline"/>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2. 中标单位的确定：</w:t>
      </w:r>
      <w:r>
        <w:rPr>
          <w:rFonts w:hint="eastAsia" w:ascii="宋体" w:hAnsi="宋体" w:cs="宋体"/>
          <w:b w:val="0"/>
          <w:bCs/>
          <w:color w:val="000000" w:themeColor="text1"/>
          <w:sz w:val="21"/>
          <w:szCs w:val="21"/>
          <w:highlight w:val="none"/>
          <w:lang w:eastAsia="zh-CN"/>
          <w14:textFill>
            <w14:solidFill>
              <w14:schemeClr w14:val="tx1"/>
            </w14:solidFill>
          </w14:textFill>
        </w:rPr>
        <w:t>本项目确定</w:t>
      </w:r>
      <w:r>
        <w:rPr>
          <w:rFonts w:hint="eastAsia" w:ascii="宋体" w:hAnsi="宋体" w:cs="宋体"/>
          <w:b w:val="0"/>
          <w:bCs/>
          <w:color w:val="000000" w:themeColor="text1"/>
          <w:sz w:val="21"/>
          <w:szCs w:val="21"/>
          <w:highlight w:val="none"/>
          <w:lang w:val="en-US" w:eastAsia="zh-CN"/>
          <w14:textFill>
            <w14:solidFill>
              <w14:schemeClr w14:val="tx1"/>
            </w14:solidFill>
          </w14:textFill>
        </w:rPr>
        <w:t>15</w:t>
      </w:r>
      <w:r>
        <w:rPr>
          <w:rFonts w:hint="eastAsia" w:ascii="宋体" w:hAnsi="宋体" w:cs="宋体"/>
          <w:b w:val="0"/>
          <w:bCs/>
          <w:color w:val="000000" w:themeColor="text1"/>
          <w:sz w:val="21"/>
          <w:szCs w:val="21"/>
          <w:highlight w:val="none"/>
          <w:lang w:eastAsia="zh-CN"/>
          <w14:textFill>
            <w14:solidFill>
              <w14:schemeClr w14:val="tx1"/>
            </w14:solidFill>
          </w14:textFill>
        </w:rPr>
        <w:t>名中标单位：标的一10000万元（一年期）、标的二9000万元（一年期）、标的三</w:t>
      </w:r>
      <w:r>
        <w:rPr>
          <w:rFonts w:hint="eastAsia" w:ascii="宋体" w:hAnsi="宋体" w:cs="宋体"/>
          <w:b w:val="0"/>
          <w:bCs/>
          <w:color w:val="000000" w:themeColor="text1"/>
          <w:sz w:val="21"/>
          <w:szCs w:val="21"/>
          <w:highlight w:val="none"/>
          <w:lang w:val="en-US" w:eastAsia="zh-CN"/>
          <w14:textFill>
            <w14:solidFill>
              <w14:schemeClr w14:val="tx1"/>
            </w14:solidFill>
          </w14:textFill>
        </w:rPr>
        <w:t>8000</w:t>
      </w:r>
      <w:r>
        <w:rPr>
          <w:rFonts w:hint="eastAsia" w:ascii="宋体" w:hAnsi="宋体" w:cs="宋体"/>
          <w:b w:val="0"/>
          <w:bCs/>
          <w:color w:val="000000" w:themeColor="text1"/>
          <w:sz w:val="21"/>
          <w:szCs w:val="21"/>
          <w:highlight w:val="none"/>
          <w:lang w:eastAsia="zh-CN"/>
          <w14:textFill>
            <w14:solidFill>
              <w14:schemeClr w14:val="tx1"/>
            </w14:solidFill>
          </w14:textFill>
        </w:rPr>
        <w:t>万元（一年期）、标的四</w:t>
      </w:r>
      <w:r>
        <w:rPr>
          <w:rFonts w:hint="eastAsia" w:ascii="宋体" w:hAnsi="宋体" w:cs="宋体"/>
          <w:b w:val="0"/>
          <w:bCs/>
          <w:color w:val="000000" w:themeColor="text1"/>
          <w:sz w:val="21"/>
          <w:szCs w:val="21"/>
          <w:highlight w:val="none"/>
          <w:lang w:val="en-US" w:eastAsia="zh-CN"/>
          <w14:textFill>
            <w14:solidFill>
              <w14:schemeClr w14:val="tx1"/>
            </w14:solidFill>
          </w14:textFill>
        </w:rPr>
        <w:t>6000</w:t>
      </w:r>
      <w:r>
        <w:rPr>
          <w:rFonts w:hint="eastAsia" w:ascii="宋体" w:hAnsi="宋体" w:cs="宋体"/>
          <w:b w:val="0"/>
          <w:bCs/>
          <w:color w:val="000000" w:themeColor="text1"/>
          <w:sz w:val="21"/>
          <w:szCs w:val="21"/>
          <w:highlight w:val="none"/>
          <w:lang w:eastAsia="zh-CN"/>
          <w14:textFill>
            <w14:solidFill>
              <w14:schemeClr w14:val="tx1"/>
            </w14:solidFill>
          </w14:textFill>
        </w:rPr>
        <w:t>万元（一年期）、标的五</w:t>
      </w:r>
      <w:r>
        <w:rPr>
          <w:rFonts w:hint="eastAsia" w:ascii="宋体" w:hAnsi="宋体" w:cs="宋体"/>
          <w:b w:val="0"/>
          <w:bCs/>
          <w:color w:val="000000" w:themeColor="text1"/>
          <w:sz w:val="21"/>
          <w:szCs w:val="21"/>
          <w:highlight w:val="none"/>
          <w:lang w:val="en-US" w:eastAsia="zh-CN"/>
          <w14:textFill>
            <w14:solidFill>
              <w14:schemeClr w14:val="tx1"/>
            </w14:solidFill>
          </w14:textFill>
        </w:rPr>
        <w:t>5000</w:t>
      </w:r>
      <w:r>
        <w:rPr>
          <w:rFonts w:hint="eastAsia" w:ascii="宋体" w:hAnsi="宋体" w:cs="宋体"/>
          <w:b w:val="0"/>
          <w:bCs/>
          <w:color w:val="000000" w:themeColor="text1"/>
          <w:sz w:val="21"/>
          <w:szCs w:val="21"/>
          <w:highlight w:val="none"/>
          <w:lang w:eastAsia="zh-CN"/>
          <w14:textFill>
            <w14:solidFill>
              <w14:schemeClr w14:val="tx1"/>
            </w14:solidFill>
          </w14:textFill>
        </w:rPr>
        <w:t>万元（一年期）、标的六</w:t>
      </w:r>
      <w:r>
        <w:rPr>
          <w:rFonts w:hint="eastAsia" w:ascii="宋体" w:hAnsi="宋体" w:cs="宋体"/>
          <w:b w:val="0"/>
          <w:bCs/>
          <w:color w:val="000000" w:themeColor="text1"/>
          <w:sz w:val="21"/>
          <w:szCs w:val="21"/>
          <w:highlight w:val="none"/>
          <w:lang w:val="en-US" w:eastAsia="zh-CN"/>
          <w14:textFill>
            <w14:solidFill>
              <w14:schemeClr w14:val="tx1"/>
            </w14:solidFill>
          </w14:textFill>
        </w:rPr>
        <w:t>4000</w:t>
      </w:r>
      <w:r>
        <w:rPr>
          <w:rFonts w:hint="eastAsia" w:ascii="宋体" w:hAnsi="宋体" w:cs="宋体"/>
          <w:b w:val="0"/>
          <w:bCs/>
          <w:color w:val="000000" w:themeColor="text1"/>
          <w:sz w:val="21"/>
          <w:szCs w:val="21"/>
          <w:highlight w:val="none"/>
          <w:lang w:eastAsia="zh-CN"/>
          <w14:textFill>
            <w14:solidFill>
              <w14:schemeClr w14:val="tx1"/>
            </w14:solidFill>
          </w14:textFill>
        </w:rPr>
        <w:t>万元（一年期）、标的七</w:t>
      </w:r>
      <w:r>
        <w:rPr>
          <w:rFonts w:hint="eastAsia" w:ascii="宋体" w:hAnsi="宋体" w:cs="宋体"/>
          <w:b w:val="0"/>
          <w:bCs/>
          <w:color w:val="000000" w:themeColor="text1"/>
          <w:sz w:val="21"/>
          <w:szCs w:val="21"/>
          <w:highlight w:val="none"/>
          <w:lang w:val="en-US" w:eastAsia="zh-CN"/>
          <w14:textFill>
            <w14:solidFill>
              <w14:schemeClr w14:val="tx1"/>
            </w14:solidFill>
          </w14:textFill>
        </w:rPr>
        <w:t>3000</w:t>
      </w:r>
      <w:r>
        <w:rPr>
          <w:rFonts w:hint="eastAsia" w:ascii="宋体" w:hAnsi="宋体" w:cs="宋体"/>
          <w:b w:val="0"/>
          <w:bCs/>
          <w:color w:val="000000" w:themeColor="text1"/>
          <w:sz w:val="21"/>
          <w:szCs w:val="21"/>
          <w:highlight w:val="none"/>
          <w:lang w:eastAsia="zh-CN"/>
          <w14:textFill>
            <w14:solidFill>
              <w14:schemeClr w14:val="tx1"/>
            </w14:solidFill>
          </w14:textFill>
        </w:rPr>
        <w:t>万元（一年期）、标的八</w:t>
      </w:r>
      <w:r>
        <w:rPr>
          <w:rFonts w:hint="eastAsia" w:ascii="宋体" w:hAnsi="宋体" w:cs="宋体"/>
          <w:b w:val="0"/>
          <w:bCs/>
          <w:color w:val="000000" w:themeColor="text1"/>
          <w:sz w:val="21"/>
          <w:szCs w:val="21"/>
          <w:highlight w:val="none"/>
          <w:lang w:val="en-US" w:eastAsia="zh-CN"/>
          <w14:textFill>
            <w14:solidFill>
              <w14:schemeClr w14:val="tx1"/>
            </w14:solidFill>
          </w14:textFill>
        </w:rPr>
        <w:t>25</w:t>
      </w:r>
      <w:r>
        <w:rPr>
          <w:rFonts w:hint="eastAsia" w:ascii="宋体" w:hAnsi="宋体" w:cs="宋体"/>
          <w:b w:val="0"/>
          <w:bCs/>
          <w:color w:val="000000" w:themeColor="text1"/>
          <w:sz w:val="21"/>
          <w:szCs w:val="21"/>
          <w:highlight w:val="none"/>
          <w:lang w:eastAsia="zh-CN"/>
          <w14:textFill>
            <w14:solidFill>
              <w14:schemeClr w14:val="tx1"/>
            </w14:solidFill>
          </w14:textFill>
        </w:rPr>
        <w:t>00万元（</w:t>
      </w:r>
      <w:r>
        <w:rPr>
          <w:rFonts w:hint="eastAsia" w:ascii="宋体" w:hAnsi="宋体" w:cs="宋体"/>
          <w:b w:val="0"/>
          <w:bCs/>
          <w:color w:val="000000" w:themeColor="text1"/>
          <w:sz w:val="21"/>
          <w:szCs w:val="21"/>
          <w:highlight w:val="none"/>
          <w:lang w:val="en-US" w:eastAsia="zh-CN"/>
          <w14:textFill>
            <w14:solidFill>
              <w14:schemeClr w14:val="tx1"/>
            </w14:solidFill>
          </w14:textFill>
        </w:rPr>
        <w:t>一</w:t>
      </w:r>
      <w:r>
        <w:rPr>
          <w:rFonts w:hint="eastAsia" w:ascii="宋体" w:hAnsi="宋体" w:cs="宋体"/>
          <w:b w:val="0"/>
          <w:bCs/>
          <w:color w:val="000000" w:themeColor="text1"/>
          <w:sz w:val="21"/>
          <w:szCs w:val="21"/>
          <w:highlight w:val="none"/>
          <w:lang w:eastAsia="zh-CN"/>
          <w14:textFill>
            <w14:solidFill>
              <w14:schemeClr w14:val="tx1"/>
            </w14:solidFill>
          </w14:textFill>
        </w:rPr>
        <w:t>年期）、标的九</w:t>
      </w:r>
      <w:r>
        <w:rPr>
          <w:rFonts w:hint="eastAsia" w:ascii="宋体" w:hAnsi="宋体" w:cs="宋体"/>
          <w:b w:val="0"/>
          <w:bCs/>
          <w:color w:val="000000" w:themeColor="text1"/>
          <w:sz w:val="21"/>
          <w:szCs w:val="21"/>
          <w:highlight w:val="none"/>
          <w:lang w:val="en-US" w:eastAsia="zh-CN"/>
          <w14:textFill>
            <w14:solidFill>
              <w14:schemeClr w14:val="tx1"/>
            </w14:solidFill>
          </w14:textFill>
        </w:rPr>
        <w:t>1500</w:t>
      </w:r>
      <w:r>
        <w:rPr>
          <w:rFonts w:hint="eastAsia" w:ascii="宋体" w:hAnsi="宋体" w:cs="宋体"/>
          <w:b w:val="0"/>
          <w:bCs/>
          <w:color w:val="000000" w:themeColor="text1"/>
          <w:sz w:val="21"/>
          <w:szCs w:val="21"/>
          <w:highlight w:val="none"/>
          <w:lang w:eastAsia="zh-CN"/>
          <w14:textFill>
            <w14:solidFill>
              <w14:schemeClr w14:val="tx1"/>
            </w14:solidFill>
          </w14:textFill>
        </w:rPr>
        <w:t>万元（</w:t>
      </w:r>
      <w:r>
        <w:rPr>
          <w:rFonts w:hint="eastAsia" w:ascii="宋体" w:hAnsi="宋体" w:cs="宋体"/>
          <w:b w:val="0"/>
          <w:bCs/>
          <w:color w:val="000000" w:themeColor="text1"/>
          <w:sz w:val="21"/>
          <w:szCs w:val="21"/>
          <w:highlight w:val="none"/>
          <w:lang w:val="en-US" w:eastAsia="zh-CN"/>
          <w14:textFill>
            <w14:solidFill>
              <w14:schemeClr w14:val="tx1"/>
            </w14:solidFill>
          </w14:textFill>
        </w:rPr>
        <w:t>一</w:t>
      </w:r>
      <w:r>
        <w:rPr>
          <w:rFonts w:hint="eastAsia" w:ascii="宋体" w:hAnsi="宋体" w:cs="宋体"/>
          <w:b w:val="0"/>
          <w:bCs/>
          <w:color w:val="000000" w:themeColor="text1"/>
          <w:sz w:val="21"/>
          <w:szCs w:val="21"/>
          <w:highlight w:val="none"/>
          <w:lang w:eastAsia="zh-CN"/>
          <w14:textFill>
            <w14:solidFill>
              <w14:schemeClr w14:val="tx1"/>
            </w14:solidFill>
          </w14:textFill>
        </w:rPr>
        <w:t>年期）、标的十</w:t>
      </w:r>
      <w:r>
        <w:rPr>
          <w:rFonts w:hint="eastAsia" w:ascii="宋体" w:hAnsi="宋体" w:cs="宋体"/>
          <w:b w:val="0"/>
          <w:bCs/>
          <w:color w:val="000000" w:themeColor="text1"/>
          <w:sz w:val="21"/>
          <w:szCs w:val="21"/>
          <w:highlight w:val="none"/>
          <w:lang w:val="en-US" w:eastAsia="zh-CN"/>
          <w14:textFill>
            <w14:solidFill>
              <w14:schemeClr w14:val="tx1"/>
            </w14:solidFill>
          </w14:textFill>
        </w:rPr>
        <w:t>1000</w:t>
      </w:r>
      <w:r>
        <w:rPr>
          <w:rFonts w:hint="eastAsia" w:ascii="宋体" w:hAnsi="宋体" w:cs="宋体"/>
          <w:b w:val="0"/>
          <w:bCs/>
          <w:color w:val="000000" w:themeColor="text1"/>
          <w:sz w:val="21"/>
          <w:szCs w:val="21"/>
          <w:highlight w:val="none"/>
          <w:lang w:eastAsia="zh-CN"/>
          <w14:textFill>
            <w14:solidFill>
              <w14:schemeClr w14:val="tx1"/>
            </w14:solidFill>
          </w14:textFill>
        </w:rPr>
        <w:t>万元（</w:t>
      </w:r>
      <w:r>
        <w:rPr>
          <w:rFonts w:hint="eastAsia" w:ascii="宋体" w:hAnsi="宋体" w:cs="宋体"/>
          <w:b w:val="0"/>
          <w:bCs/>
          <w:color w:val="000000" w:themeColor="text1"/>
          <w:sz w:val="21"/>
          <w:szCs w:val="21"/>
          <w:highlight w:val="none"/>
          <w:lang w:val="en-US" w:eastAsia="zh-CN"/>
          <w14:textFill>
            <w14:solidFill>
              <w14:schemeClr w14:val="tx1"/>
            </w14:solidFill>
          </w14:textFill>
        </w:rPr>
        <w:t>一</w:t>
      </w:r>
      <w:r>
        <w:rPr>
          <w:rFonts w:hint="eastAsia" w:ascii="宋体" w:hAnsi="宋体" w:cs="宋体"/>
          <w:b w:val="0"/>
          <w:bCs/>
          <w:color w:val="000000" w:themeColor="text1"/>
          <w:sz w:val="21"/>
          <w:szCs w:val="21"/>
          <w:highlight w:val="none"/>
          <w:lang w:eastAsia="zh-CN"/>
          <w14:textFill>
            <w14:solidFill>
              <w14:schemeClr w14:val="tx1"/>
            </w14:solidFill>
          </w14:textFill>
        </w:rPr>
        <w:t>年期）、标的十一</w:t>
      </w:r>
      <w:r>
        <w:rPr>
          <w:rFonts w:hint="eastAsia" w:ascii="宋体" w:hAnsi="宋体" w:cs="宋体"/>
          <w:b w:val="0"/>
          <w:bCs/>
          <w:color w:val="000000" w:themeColor="text1"/>
          <w:sz w:val="21"/>
          <w:szCs w:val="21"/>
          <w:highlight w:val="none"/>
          <w:lang w:val="en-US" w:eastAsia="zh-CN"/>
          <w14:textFill>
            <w14:solidFill>
              <w14:schemeClr w14:val="tx1"/>
            </w14:solidFill>
          </w14:textFill>
        </w:rPr>
        <w:t>3500</w:t>
      </w:r>
      <w:r>
        <w:rPr>
          <w:rFonts w:hint="eastAsia" w:ascii="宋体" w:hAnsi="宋体" w:cs="宋体"/>
          <w:b w:val="0"/>
          <w:bCs/>
          <w:color w:val="000000" w:themeColor="text1"/>
          <w:sz w:val="21"/>
          <w:szCs w:val="21"/>
          <w:highlight w:val="none"/>
          <w:lang w:eastAsia="zh-CN"/>
          <w14:textFill>
            <w14:solidFill>
              <w14:schemeClr w14:val="tx1"/>
            </w14:solidFill>
          </w14:textFill>
        </w:rPr>
        <w:t>万元（半年期）、标的十二</w:t>
      </w:r>
      <w:r>
        <w:rPr>
          <w:rFonts w:hint="eastAsia" w:ascii="宋体" w:hAnsi="宋体" w:cs="宋体"/>
          <w:b w:val="0"/>
          <w:bCs/>
          <w:color w:val="000000" w:themeColor="text1"/>
          <w:sz w:val="21"/>
          <w:szCs w:val="21"/>
          <w:highlight w:val="none"/>
          <w:lang w:val="en-US" w:eastAsia="zh-CN"/>
          <w14:textFill>
            <w14:solidFill>
              <w14:schemeClr w14:val="tx1"/>
            </w14:solidFill>
          </w14:textFill>
        </w:rPr>
        <w:t>3000</w:t>
      </w:r>
      <w:r>
        <w:rPr>
          <w:rFonts w:hint="eastAsia" w:ascii="宋体" w:hAnsi="宋体" w:cs="宋体"/>
          <w:b w:val="0"/>
          <w:bCs/>
          <w:color w:val="000000" w:themeColor="text1"/>
          <w:sz w:val="21"/>
          <w:szCs w:val="21"/>
          <w:highlight w:val="none"/>
          <w:lang w:eastAsia="zh-CN"/>
          <w14:textFill>
            <w14:solidFill>
              <w14:schemeClr w14:val="tx1"/>
            </w14:solidFill>
          </w14:textFill>
        </w:rPr>
        <w:t>万元（半年期）、标的十三</w:t>
      </w:r>
      <w:r>
        <w:rPr>
          <w:rFonts w:hint="eastAsia" w:ascii="宋体" w:hAnsi="宋体" w:cs="宋体"/>
          <w:b w:val="0"/>
          <w:bCs/>
          <w:color w:val="000000" w:themeColor="text1"/>
          <w:sz w:val="21"/>
          <w:szCs w:val="21"/>
          <w:highlight w:val="none"/>
          <w:lang w:val="en-US" w:eastAsia="zh-CN"/>
          <w14:textFill>
            <w14:solidFill>
              <w14:schemeClr w14:val="tx1"/>
            </w14:solidFill>
          </w14:textFill>
        </w:rPr>
        <w:t>2500</w:t>
      </w:r>
      <w:r>
        <w:rPr>
          <w:rFonts w:hint="eastAsia" w:ascii="宋体" w:hAnsi="宋体" w:cs="宋体"/>
          <w:b w:val="0"/>
          <w:bCs/>
          <w:color w:val="000000" w:themeColor="text1"/>
          <w:sz w:val="21"/>
          <w:szCs w:val="21"/>
          <w:highlight w:val="none"/>
          <w:lang w:eastAsia="zh-CN"/>
          <w14:textFill>
            <w14:solidFill>
              <w14:schemeClr w14:val="tx1"/>
            </w14:solidFill>
          </w14:textFill>
        </w:rPr>
        <w:t>万元（半年期）、标的十</w:t>
      </w:r>
      <w:r>
        <w:rPr>
          <w:rFonts w:hint="eastAsia" w:ascii="宋体" w:hAnsi="宋体" w:cs="宋体"/>
          <w:b w:val="0"/>
          <w:bCs/>
          <w:color w:val="000000" w:themeColor="text1"/>
          <w:sz w:val="21"/>
          <w:szCs w:val="21"/>
          <w:highlight w:val="none"/>
          <w:lang w:val="en-US" w:eastAsia="zh-CN"/>
          <w14:textFill>
            <w14:solidFill>
              <w14:schemeClr w14:val="tx1"/>
            </w14:solidFill>
          </w14:textFill>
        </w:rPr>
        <w:t>四2000</w:t>
      </w:r>
      <w:r>
        <w:rPr>
          <w:rFonts w:hint="eastAsia" w:ascii="宋体" w:hAnsi="宋体" w:cs="宋体"/>
          <w:b w:val="0"/>
          <w:bCs/>
          <w:color w:val="000000" w:themeColor="text1"/>
          <w:sz w:val="21"/>
          <w:szCs w:val="21"/>
          <w:highlight w:val="none"/>
          <w:lang w:eastAsia="zh-CN"/>
          <w14:textFill>
            <w14:solidFill>
              <w14:schemeClr w14:val="tx1"/>
            </w14:solidFill>
          </w14:textFill>
        </w:rPr>
        <w:t>万元（半年期）、标的十</w:t>
      </w:r>
      <w:r>
        <w:rPr>
          <w:rFonts w:hint="eastAsia" w:ascii="宋体" w:hAnsi="宋体" w:cs="宋体"/>
          <w:b w:val="0"/>
          <w:bCs/>
          <w:color w:val="000000" w:themeColor="text1"/>
          <w:sz w:val="21"/>
          <w:szCs w:val="21"/>
          <w:highlight w:val="none"/>
          <w:lang w:val="en-US" w:eastAsia="zh-CN"/>
          <w14:textFill>
            <w14:solidFill>
              <w14:schemeClr w14:val="tx1"/>
            </w14:solidFill>
          </w14:textFill>
        </w:rPr>
        <w:t>五1000</w:t>
      </w:r>
      <w:r>
        <w:rPr>
          <w:rFonts w:hint="eastAsia" w:ascii="宋体" w:hAnsi="宋体" w:cs="宋体"/>
          <w:b w:val="0"/>
          <w:bCs/>
          <w:color w:val="000000" w:themeColor="text1"/>
          <w:sz w:val="21"/>
          <w:szCs w:val="21"/>
          <w:highlight w:val="none"/>
          <w:lang w:eastAsia="zh-CN"/>
          <w14:textFill>
            <w14:solidFill>
              <w14:schemeClr w14:val="tx1"/>
            </w14:solidFill>
          </w14:textFill>
        </w:rPr>
        <w:t>万元（半年期）</w:t>
      </w:r>
      <w:r>
        <w:rPr>
          <w:rFonts w:hint="eastAsia" w:ascii="宋体" w:hAnsi="宋体" w:cs="宋体"/>
          <w:color w:val="000000" w:themeColor="text1"/>
          <w:kern w:val="0"/>
          <w:szCs w:val="21"/>
          <w:highlight w:val="none"/>
          <w:lang w:val="en-US" w:eastAsia="zh-CN"/>
          <w14:textFill>
            <w14:solidFill>
              <w14:schemeClr w14:val="tx1"/>
            </w14:solidFill>
          </w14:textFill>
        </w:rPr>
        <w:t>。</w:t>
      </w:r>
    </w:p>
    <w:p w14:paraId="220D7ACA">
      <w:pPr>
        <w:pStyle w:val="3"/>
        <w:spacing w:before="0" w:after="0" w:line="300" w:lineRule="auto"/>
        <w:jc w:val="left"/>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85" w:name="_Toc18710"/>
      <w:r>
        <w:rPr>
          <w:rFonts w:hint="eastAsia" w:ascii="宋体" w:hAnsi="宋体" w:eastAsia="宋体" w:cs="宋体"/>
          <w:b/>
          <w:bCs/>
          <w:color w:val="000000" w:themeColor="text1"/>
          <w:sz w:val="21"/>
          <w:szCs w:val="21"/>
          <w:highlight w:val="none"/>
          <w:lang w:val="zh-CN"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二、服务要求</w:t>
      </w:r>
      <w:bookmarkEnd w:id="85"/>
    </w:p>
    <w:p w14:paraId="28C71C35">
      <w:pPr>
        <w:pageBreakBefore w:val="0"/>
        <w:numPr>
          <w:ilvl w:val="0"/>
          <w:numId w:val="0"/>
        </w:numPr>
        <w:kinsoku/>
        <w:topLinePunct w:val="0"/>
        <w:bidi w:val="0"/>
        <w:snapToGrid/>
        <w:spacing w:line="360" w:lineRule="auto"/>
        <w:ind w:firstLine="420" w:firstLineChars="200"/>
        <w:textAlignment w:val="baseline"/>
        <w:rPr>
          <w:rFonts w:hint="eastAsia" w:ascii="宋体" w:hAnsi="宋体" w:eastAsia="宋体" w:cs="宋体"/>
          <w:color w:val="000000" w:themeColor="text1"/>
          <w:kern w:val="0"/>
          <w:szCs w:val="21"/>
          <w:highlight w:val="none"/>
          <w:lang w:eastAsia="zh-CN"/>
          <w14:textFill>
            <w14:solidFill>
              <w14:schemeClr w14:val="tx1"/>
            </w14:solidFill>
          </w14:textFill>
        </w:rPr>
      </w:pPr>
      <w:bookmarkStart w:id="86" w:name="_Toc372"/>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严格按照</w:t>
      </w:r>
      <w:r>
        <w:rPr>
          <w:rFonts w:hint="eastAsia" w:eastAsia="宋体" w:cs="宋体"/>
          <w:color w:val="000000" w:themeColor="text1"/>
          <w:sz w:val="21"/>
          <w:szCs w:val="21"/>
          <w:highlight w:val="none"/>
          <w:lang w:eastAsia="zh-CN"/>
          <w14:textFill>
            <w14:solidFill>
              <w14:schemeClr w14:val="tx1"/>
            </w14:solidFill>
          </w14:textFill>
        </w:rPr>
        <w:t>《关于防止领导干部在公款存放方面发生利益冲突和利益输</w:t>
      </w:r>
      <w:r>
        <w:rPr>
          <w:rFonts w:hint="eastAsia" w:ascii="宋体" w:hAnsi="宋体" w:eastAsia="宋体" w:cs="宋体"/>
          <w:color w:val="000000" w:themeColor="text1"/>
          <w:sz w:val="21"/>
          <w:szCs w:val="21"/>
          <w:highlight w:val="none"/>
          <w:lang w:eastAsia="zh-CN"/>
          <w14:textFill>
            <w14:solidFill>
              <w14:schemeClr w14:val="tx1"/>
            </w14:solidFill>
          </w14:textFill>
        </w:rPr>
        <w:t>送的办法》(浙委办发〔2015〕8号)、《浙江省财政厅关于印发浙江省财政专户资金存放管理实施办法的通知》（浙财预执〔20</w:t>
      </w:r>
      <w:r>
        <w:rPr>
          <w:rFonts w:hint="eastAsia" w:ascii="宋体" w:hAnsi="宋体" w:eastAsia="宋体" w:cs="宋体"/>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86</w:t>
      </w:r>
      <w:r>
        <w:rPr>
          <w:rFonts w:hint="eastAsia" w:ascii="宋体" w:hAnsi="宋体" w:eastAsia="宋体" w:cs="宋体"/>
          <w:color w:val="000000" w:themeColor="text1"/>
          <w:sz w:val="21"/>
          <w:szCs w:val="21"/>
          <w:highlight w:val="none"/>
          <w:lang w:eastAsia="zh-CN"/>
          <w14:textFill>
            <w14:solidFill>
              <w14:schemeClr w14:val="tx1"/>
            </w14:solidFill>
          </w14:textFill>
        </w:rPr>
        <w:t>号）和常山县人民政府办公室关于印发《常山县县级财政资金竞争性存放管理暂行办法》的通知（常政办发〔20</w:t>
      </w:r>
      <w:r>
        <w:rPr>
          <w:rFonts w:hint="eastAsia" w:ascii="宋体" w:hAnsi="宋体" w:eastAsia="宋体" w:cs="宋体"/>
          <w:color w:val="000000" w:themeColor="text1"/>
          <w:sz w:val="21"/>
          <w:szCs w:val="21"/>
          <w:highlight w:val="none"/>
          <w:lang w:val="en-US" w:eastAsia="zh-CN"/>
          <w14:textFill>
            <w14:solidFill>
              <w14:schemeClr w14:val="tx1"/>
            </w14:solidFill>
          </w14:textFill>
        </w:rPr>
        <w:t>18</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165号</w:t>
      </w:r>
      <w:r>
        <w:rPr>
          <w:rFonts w:hint="eastAsia" w:ascii="宋体" w:hAnsi="宋体" w:eastAsia="宋体" w:cs="宋体"/>
          <w:color w:val="000000" w:themeColor="text1"/>
          <w:sz w:val="21"/>
          <w:szCs w:val="21"/>
          <w:highlight w:val="none"/>
          <w:lang w:eastAsia="zh-CN"/>
          <w14:textFill>
            <w14:solidFill>
              <w14:schemeClr w14:val="tx1"/>
            </w14:solidFill>
          </w14:textFill>
        </w:rPr>
        <w:t>）等有关规定</w:t>
      </w:r>
      <w:r>
        <w:rPr>
          <w:rFonts w:hint="eastAsia" w:ascii="宋体" w:hAnsi="宋体" w:eastAsia="宋体" w:cs="宋体"/>
          <w:color w:val="000000" w:themeColor="text1"/>
          <w:kern w:val="0"/>
          <w:szCs w:val="21"/>
          <w:highlight w:val="none"/>
          <w:lang w:eastAsia="zh-CN"/>
          <w14:textFill>
            <w14:solidFill>
              <w14:schemeClr w14:val="tx1"/>
            </w14:solidFill>
          </w14:textFill>
        </w:rPr>
        <w:t>，办理各项业务，保证资金的安全性。</w:t>
      </w:r>
    </w:p>
    <w:p w14:paraId="24C08596">
      <w:pPr>
        <w:pageBreakBefore w:val="0"/>
        <w:numPr>
          <w:ilvl w:val="0"/>
          <w:numId w:val="0"/>
        </w:numPr>
        <w:kinsoku/>
        <w:topLinePunct w:val="0"/>
        <w:bidi w:val="0"/>
        <w:snapToGrid/>
        <w:spacing w:line="360" w:lineRule="auto"/>
        <w:ind w:firstLine="420" w:firstLineChars="200"/>
        <w:textAlignment w:val="baseline"/>
        <w:rPr>
          <w:rFonts w:hint="eastAsia"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eastAsia="宋体" w:cs="宋体"/>
          <w:color w:val="000000" w:themeColor="text1"/>
          <w:sz w:val="21"/>
          <w:szCs w:val="21"/>
          <w:highlight w:val="none"/>
          <w:lang w:val="en-US" w:eastAsia="zh-CN"/>
          <w14:textFill>
            <w14:solidFill>
              <w14:schemeClr w14:val="tx1"/>
            </w14:solidFill>
          </w14:textFill>
        </w:rPr>
        <w:t>如后期中标单位在履约期间出现会危及资金存放安全情形的，需要在情况发生3天内及时通知定存单位。</w:t>
      </w:r>
    </w:p>
    <w:p w14:paraId="36534BA9">
      <w:pPr>
        <w:pageBreakBefore w:val="0"/>
        <w:kinsoku/>
        <w:topLinePunct w:val="0"/>
        <w:bidi w:val="0"/>
        <w:snapToGrid/>
        <w:spacing w:line="360" w:lineRule="auto"/>
        <w:ind w:firstLine="420"/>
        <w:textAlignment w:val="baseline"/>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.按承诺优惠利率对存放资金进行计息，及时将利息打入存款人账户。不能以任何理由拒绝办理或部分办理。</w:t>
      </w:r>
    </w:p>
    <w:p w14:paraId="056DC22E">
      <w:pPr>
        <w:pageBreakBefore w:val="0"/>
        <w:kinsoku/>
        <w:topLinePunct w:val="0"/>
        <w:bidi w:val="0"/>
        <w:snapToGrid/>
        <w:spacing w:line="360" w:lineRule="auto"/>
        <w:ind w:firstLine="420"/>
        <w:textAlignment w:val="baseline"/>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eastAsia="zh-CN"/>
          <w14:textFill>
            <w14:solidFill>
              <w14:schemeClr w14:val="tx1"/>
            </w14:solidFill>
          </w14:textFill>
        </w:rPr>
        <w:t>.依法为</w:t>
      </w:r>
      <w:r>
        <w:rPr>
          <w:rFonts w:hint="eastAsia" w:ascii="宋体" w:hAnsi="宋体" w:cs="宋体"/>
          <w:color w:val="000000" w:themeColor="text1"/>
          <w:kern w:val="0"/>
          <w:szCs w:val="21"/>
          <w:highlight w:val="none"/>
          <w:lang w:val="en-US" w:eastAsia="zh-CN"/>
          <w14:textFill>
            <w14:solidFill>
              <w14:schemeClr w14:val="tx1"/>
            </w14:solidFill>
          </w14:textFill>
        </w:rPr>
        <w:t>招标人</w:t>
      </w:r>
      <w:r>
        <w:rPr>
          <w:rFonts w:hint="eastAsia" w:ascii="宋体" w:hAnsi="宋体" w:eastAsia="宋体" w:cs="宋体"/>
          <w:color w:val="000000" w:themeColor="text1"/>
          <w:kern w:val="0"/>
          <w:szCs w:val="21"/>
          <w:highlight w:val="none"/>
          <w:lang w:eastAsia="zh-CN"/>
          <w14:textFill>
            <w14:solidFill>
              <w14:schemeClr w14:val="tx1"/>
            </w14:solidFill>
          </w14:textFill>
        </w:rPr>
        <w:t>的信息保密。</w:t>
      </w:r>
    </w:p>
    <w:p w14:paraId="50E818A2">
      <w:pPr>
        <w:pStyle w:val="6"/>
        <w:ind w:firstLine="420" w:firstLineChars="200"/>
        <w:rPr>
          <w:rFonts w:hint="eastAsia" w:ascii="宋体" w:hAnsi="宋体" w:eastAsia="宋体" w:cs="宋体"/>
          <w:b/>
          <w:bCs w:val="0"/>
          <w:color w:val="000000" w:themeColor="text1"/>
          <w:sz w:val="21"/>
          <w:szCs w:val="21"/>
          <w:highlight w:val="none"/>
          <w:lang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资金存放前</w:t>
      </w:r>
      <w:r>
        <w:rPr>
          <w:rFonts w:hint="eastAsia" w:ascii="宋体" w:hAnsi="宋体" w:cs="宋体"/>
          <w:b/>
          <w:bCs w:val="0"/>
          <w:color w:val="000000" w:themeColor="text1"/>
          <w:sz w:val="21"/>
          <w:szCs w:val="21"/>
          <w:highlight w:val="none"/>
          <w:lang w:eastAsia="zh-CN"/>
          <w14:textFill>
            <w14:solidFill>
              <w14:schemeClr w14:val="tx1"/>
            </w14:solidFill>
          </w14:textFill>
        </w:rPr>
        <w:t>必须</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提供</w:t>
      </w:r>
      <w:r>
        <w:rPr>
          <w:rFonts w:hint="eastAsia" w:ascii="宋体" w:hAnsi="宋体" w:cs="宋体"/>
          <w:b/>
          <w:bCs w:val="0"/>
          <w:color w:val="000000" w:themeColor="text1"/>
          <w:sz w:val="21"/>
          <w:szCs w:val="21"/>
          <w:highlight w:val="none"/>
          <w:lang w:val="en-US" w:eastAsia="zh-CN"/>
          <w14:textFill>
            <w14:solidFill>
              <w14:schemeClr w14:val="tx1"/>
            </w14:solidFill>
          </w14:textFill>
        </w:rPr>
        <w:t>资金安全担保函</w:t>
      </w:r>
      <w:r>
        <w:rPr>
          <w:rFonts w:hint="eastAsia" w:ascii="宋体" w:hAnsi="宋体" w:eastAsia="宋体" w:cs="宋体"/>
          <w:b/>
          <w:bCs w:val="0"/>
          <w:color w:val="000000" w:themeColor="text1"/>
          <w:sz w:val="21"/>
          <w:szCs w:val="21"/>
          <w:highlight w:val="none"/>
          <w:lang w:eastAsia="zh-CN"/>
          <w14:textFill>
            <w14:solidFill>
              <w14:schemeClr w14:val="tx1"/>
            </w14:solidFill>
          </w14:textFill>
        </w:rPr>
        <w:t>。</w:t>
      </w:r>
    </w:p>
    <w:p w14:paraId="7EE2B027">
      <w:pPr>
        <w:pStyle w:val="6"/>
        <w:ind w:firstLine="420" w:firstLineChars="200"/>
        <w:rPr>
          <w:rFonts w:hint="default" w:ascii="宋体" w:hAnsi="宋体" w:eastAsia="宋体" w:cs="宋体"/>
          <w:b/>
          <w:bCs w:val="0"/>
          <w:color w:val="000000" w:themeColor="text1"/>
          <w:sz w:val="21"/>
          <w:szCs w:val="21"/>
          <w:highlight w:val="none"/>
          <w:lang w:val="en-US" w:eastAsia="zh-CN"/>
          <w14:textFill>
            <w14:solidFill>
              <w14:schemeClr w14:val="tx1"/>
            </w14:solidFill>
          </w14:textFill>
        </w:rPr>
      </w:pPr>
      <w:r>
        <w:rPr>
          <w:rFonts w:hint="eastAsia" w:ascii="宋体" w:hAnsi="宋体" w:cs="宋体"/>
          <w:b/>
          <w:bCs w:val="0"/>
          <w:color w:val="000000" w:themeColor="text1"/>
          <w:sz w:val="21"/>
          <w:szCs w:val="21"/>
          <w:highlight w:val="none"/>
          <w:lang w:val="en-US" w:eastAsia="zh-CN"/>
          <w14:textFill>
            <w14:solidFill>
              <w14:schemeClr w14:val="tx1"/>
            </w14:solidFill>
          </w14:textFill>
        </w:rPr>
        <w:t>6.如需提前支取定期存款的，必须配合。</w:t>
      </w:r>
    </w:p>
    <w:p w14:paraId="095E1FA3">
      <w:pPr>
        <w:pStyle w:val="3"/>
        <w:spacing w:before="0" w:after="0" w:line="300" w:lineRule="auto"/>
        <w:jc w:val="left"/>
        <w:rPr>
          <w:rFonts w:hint="eastAsia" w:ascii="宋体" w:hAnsi="宋体" w:eastAsia="宋体" w:cs="宋体"/>
          <w:b/>
          <w:bCs/>
          <w:color w:val="000000" w:themeColor="text1"/>
          <w:sz w:val="21"/>
          <w:szCs w:val="21"/>
          <w:highlight w:val="none"/>
          <w:lang w:val="zh-CN" w:eastAsia="zh-CN"/>
          <w14:textFill>
            <w14:solidFill>
              <w14:schemeClr w14:val="tx1"/>
            </w14:solidFill>
          </w14:textFill>
        </w:rPr>
      </w:pPr>
      <w:r>
        <w:rPr>
          <w:rFonts w:hint="eastAsia" w:ascii="宋体" w:hAnsi="宋体" w:eastAsia="宋体" w:cs="宋体"/>
          <w:b/>
          <w:bCs/>
          <w:color w:val="000000" w:themeColor="text1"/>
          <w:sz w:val="21"/>
          <w:szCs w:val="21"/>
          <w:highlight w:val="none"/>
          <w:lang w:val="zh-CN" w:eastAsia="zh-CN"/>
          <w14:textFill>
            <w14:solidFill>
              <w14:schemeClr w14:val="tx1"/>
            </w14:solidFill>
          </w14:textFill>
        </w:rPr>
        <w:t>▲三、</w:t>
      </w:r>
      <w:bookmarkEnd w:id="77"/>
      <w:bookmarkEnd w:id="78"/>
      <w:bookmarkEnd w:id="79"/>
      <w:bookmarkEnd w:id="80"/>
      <w:bookmarkEnd w:id="81"/>
      <w:bookmarkEnd w:id="82"/>
      <w:r>
        <w:rPr>
          <w:rFonts w:hint="eastAsia" w:ascii="宋体" w:hAnsi="宋体" w:eastAsia="宋体" w:cs="宋体"/>
          <w:b/>
          <w:bCs/>
          <w:color w:val="000000" w:themeColor="text1"/>
          <w:sz w:val="21"/>
          <w:szCs w:val="21"/>
          <w:highlight w:val="none"/>
          <w:lang w:val="zh-CN" w:eastAsia="zh-CN"/>
          <w14:textFill>
            <w14:solidFill>
              <w14:schemeClr w14:val="tx1"/>
            </w14:solidFill>
          </w14:textFill>
        </w:rPr>
        <w:t>商务条款</w:t>
      </w:r>
      <w:bookmarkEnd w:id="86"/>
    </w:p>
    <w:p w14:paraId="6C956A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1.</w:t>
      </w:r>
      <w:bookmarkEnd w:id="83"/>
      <w:r>
        <w:rPr>
          <w:rFonts w:hint="eastAsia" w:ascii="宋体" w:hAnsi="宋体" w:eastAsia="宋体" w:cs="宋体"/>
          <w:b/>
          <w:bCs/>
          <w:color w:val="000000" w:themeColor="text1"/>
          <w:highlight w:val="none"/>
          <w:lang w:val="en-US" w:eastAsia="zh-CN"/>
          <w14:textFill>
            <w14:solidFill>
              <w14:schemeClr w14:val="tx1"/>
            </w14:solidFill>
          </w14:textFill>
        </w:rPr>
        <w:t>其他要求：</w:t>
      </w:r>
    </w:p>
    <w:p w14:paraId="36F8694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1合同签订时，要求中标单位出具廉政承诺书原件（格式见附件），承诺不得向单位领导以及相关业务部门负责人输送任何利益，不得将资金存放与上述人员在本行的配偶、子女及其配偶以及其他特定关系人的业绩、收入挂钩。凡发现并经核实资金存放银行未遵守廉政承诺或者在资金存放中存在其他利益输送行为的，</w:t>
      </w:r>
      <w:r>
        <w:rPr>
          <w:rFonts w:hint="eastAsia" w:ascii="宋体" w:hAnsi="宋体" w:cs="宋体"/>
          <w:color w:val="000000" w:themeColor="text1"/>
          <w:highlight w:val="none"/>
          <w:lang w:val="en-US" w:eastAsia="zh-CN"/>
          <w14:textFill>
            <w14:solidFill>
              <w14:schemeClr w14:val="tx1"/>
            </w14:solidFill>
          </w14:textFill>
        </w:rPr>
        <w:t>县财政局</w:t>
      </w:r>
      <w:r>
        <w:rPr>
          <w:rFonts w:hint="eastAsia" w:ascii="宋体" w:hAnsi="宋体" w:eastAsia="宋体" w:cs="宋体"/>
          <w:color w:val="000000" w:themeColor="text1"/>
          <w:highlight w:val="none"/>
          <w:lang w:val="en-US" w:eastAsia="zh-CN"/>
          <w14:textFill>
            <w14:solidFill>
              <w14:schemeClr w14:val="tx1"/>
            </w14:solidFill>
          </w14:textFill>
        </w:rPr>
        <w:t>应及时收回资金。</w:t>
      </w:r>
    </w:p>
    <w:p w14:paraId="02201B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default"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有下列情形之一的，招标人有权提前收回中标单位的存放资金，并有权取消其在以后各期竞争性存放的投标资格。</w:t>
      </w:r>
    </w:p>
    <w:p w14:paraId="67831EF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（一）中标单位在资金存放期间出现资金安全事故、重大违法违规行为或财务状况恶化的；</w:t>
      </w:r>
    </w:p>
    <w:p w14:paraId="42DD91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（二）监管评级降低且监管部门认为存在较大运营风险的；</w:t>
      </w:r>
    </w:p>
    <w:p w14:paraId="09A322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（三）进行不正当投标的；</w:t>
      </w:r>
    </w:p>
    <w:p w14:paraId="157C8C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（四）中标单位解散或其机构（分支机构）撤离常山区域的；</w:t>
      </w:r>
    </w:p>
    <w:p w14:paraId="5AEA63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（五）没有按照中标协议承诺履行相应的责任和义务的；</w:t>
      </w:r>
    </w:p>
    <w:p w14:paraId="0F61B0C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（六）存在其他妨害资金安全行为的。</w:t>
      </w:r>
    </w:p>
    <w:p w14:paraId="6022E0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2</w:t>
      </w:r>
      <w:r>
        <w:rPr>
          <w:rFonts w:hint="eastAsia" w:ascii="宋体" w:hAnsi="宋体" w:eastAsia="宋体" w:cs="宋体"/>
          <w:b/>
          <w:bCs/>
          <w:color w:val="000000" w:themeColor="text1"/>
          <w:highlight w:val="none"/>
          <w:lang w:val="en-US" w:eastAsia="zh-CN"/>
          <w14:textFill>
            <w14:solidFill>
              <w14:schemeClr w14:val="tx1"/>
            </w14:solidFill>
          </w14:textFill>
        </w:rPr>
        <w:t>.特别提示</w:t>
      </w:r>
    </w:p>
    <w:p w14:paraId="506EBC67">
      <w:pPr>
        <w:pageBreakBefore w:val="0"/>
        <w:kinsoku/>
        <w:topLinePunct w:val="0"/>
        <w:bidi w:val="0"/>
        <w:snapToGrid/>
        <w:spacing w:line="360" w:lineRule="auto"/>
        <w:ind w:firstLine="42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.1定期存款综合收益以定期存款协议书载明的年利率计算，于存款到期日结算。</w:t>
      </w:r>
    </w:p>
    <w:p w14:paraId="4D88D0A0">
      <w:pPr>
        <w:pageBreakBefore w:val="0"/>
        <w:kinsoku/>
        <w:topLinePunct w:val="0"/>
        <w:bidi w:val="0"/>
        <w:snapToGrid/>
        <w:spacing w:line="360" w:lineRule="auto"/>
        <w:ind w:firstLine="420"/>
        <w:textAlignment w:val="baseline"/>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招标人可提前支取全部或部分定期存款，中标单位应积极配合办理。</w:t>
      </w:r>
      <w:r>
        <w:rPr>
          <w:rFonts w:hint="eastAsia" w:ascii="宋体" w:hAnsi="宋体" w:eastAsia="宋体" w:cs="宋体"/>
          <w:color w:val="000000" w:themeColor="text1"/>
          <w:kern w:val="0"/>
          <w:szCs w:val="21"/>
          <w:highlight w:val="none"/>
          <w:lang w:eastAsia="zh-CN"/>
          <w14:textFill>
            <w14:solidFill>
              <w14:schemeClr w14:val="tx1"/>
            </w14:solidFill>
          </w14:textFill>
        </w:rPr>
        <w:t>应该在核对相应的材料后给予绿色通道快速处理，不得拖延。</w:t>
      </w:r>
      <w:r>
        <w:rPr>
          <w:rFonts w:hint="eastAsia" w:ascii="宋体" w:hAnsi="宋体" w:eastAsia="宋体" w:cs="宋体"/>
          <w:color w:val="000000" w:themeColor="text1"/>
          <w:highlight w:val="none"/>
          <w:lang w:val="en-US" w:eastAsia="zh-CN"/>
          <w14:textFill>
            <w14:solidFill>
              <w14:schemeClr w14:val="tx1"/>
            </w14:solidFill>
          </w14:textFill>
        </w:rPr>
        <w:t>提前支取部分，按中国人民银行规定进行操作</w:t>
      </w:r>
      <w:r>
        <w:rPr>
          <w:rFonts w:hint="eastAsia" w:ascii="仿宋" w:hAnsi="仿宋" w:eastAsia="仿宋"/>
          <w:color w:val="000000" w:themeColor="text1"/>
          <w:kern w:val="0"/>
          <w:sz w:val="24"/>
          <w:highlight w:val="none"/>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相关规定计息。未支取部分仍需按合同约定计算收益。</w:t>
      </w:r>
    </w:p>
    <w:p w14:paraId="63CE2B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lang w:val="en-US" w:eastAsia="zh-CN"/>
          <w14:textFill>
            <w14:solidFill>
              <w14:schemeClr w14:val="tx1"/>
            </w14:solidFill>
          </w14:textFill>
        </w:rPr>
        <w:t>.3招标人要求提前支取全部或部分定期存款的，若银行不配合按期办理相关定期存款支取手续，或未按协议约定利率结清相应的存款利息的，取消下一年度公款竞争性存放投标资格。</w:t>
      </w:r>
    </w:p>
    <w:p w14:paraId="7A6890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highlight w:val="none"/>
          <w:lang w:val="en-US" w:eastAsia="zh-CN"/>
          <w14:textFill>
            <w14:solidFill>
              <w14:schemeClr w14:val="tx1"/>
            </w14:solidFill>
          </w14:textFill>
        </w:rPr>
        <w:t>本方案由</w:t>
      </w:r>
      <w:r>
        <w:rPr>
          <w:rFonts w:hint="eastAsia" w:ascii="宋体" w:hAnsi="宋体" w:cs="宋体"/>
          <w:b w:val="0"/>
          <w:bCs w:val="0"/>
          <w:color w:val="000000" w:themeColor="text1"/>
          <w:highlight w:val="none"/>
          <w:lang w:val="en-US" w:eastAsia="zh-CN"/>
          <w14:textFill>
            <w14:solidFill>
              <w14:schemeClr w14:val="tx1"/>
            </w14:solidFill>
          </w14:textFill>
        </w:rPr>
        <w:t>常山县财政局</w:t>
      </w:r>
      <w:r>
        <w:rPr>
          <w:rFonts w:hint="eastAsia" w:ascii="宋体" w:hAnsi="宋体" w:eastAsia="宋体" w:cs="宋体"/>
          <w:b w:val="0"/>
          <w:bCs w:val="0"/>
          <w:color w:val="000000" w:themeColor="text1"/>
          <w:highlight w:val="none"/>
          <w:lang w:val="en-US" w:eastAsia="zh-CN"/>
          <w14:textFill>
            <w14:solidFill>
              <w14:schemeClr w14:val="tx1"/>
            </w14:solidFill>
          </w14:textFill>
        </w:rPr>
        <w:t>负责解释。</w:t>
      </w:r>
    </w:p>
    <w:p w14:paraId="2F6DF7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注：招标文件中带“▲”内容为必须满足的实质性要求，投标人必须完全响应，不得出现负偏离，否则按无效投标处理；投标人参与本项目，即视为其完全接受招标文件所有实质性要求及合同条款。</w:t>
      </w:r>
    </w:p>
    <w:p w14:paraId="442ED8D1">
      <w:pPr>
        <w:spacing w:line="540" w:lineRule="exact"/>
        <w:jc w:val="center"/>
        <w:outlineLvl w:val="0"/>
        <w:rPr>
          <w:rFonts w:ascii="仿宋_GB2312" w:hAnsi="宋体" w:eastAsia="仿宋_GB2312"/>
          <w:b/>
          <w:bCs/>
          <w:color w:val="000000" w:themeColor="text1"/>
          <w:sz w:val="28"/>
          <w:szCs w:val="28"/>
          <w:highlight w:val="none"/>
          <w14:textFill>
            <w14:solidFill>
              <w14:schemeClr w14:val="tx1"/>
            </w14:solidFill>
          </w14:textFill>
        </w:rPr>
      </w:pPr>
      <w:r>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br w:type="page"/>
      </w:r>
      <w:bookmarkEnd w:id="84"/>
      <w:bookmarkStart w:id="87" w:name="_Toc7546"/>
      <w:bookmarkStart w:id="88" w:name="_Toc30025"/>
      <w:bookmarkStart w:id="89" w:name="_Toc22482"/>
      <w:bookmarkStart w:id="90" w:name="_Toc26365_WPSOffice_Level1"/>
      <w:bookmarkStart w:id="91" w:name="_Toc22132"/>
      <w:bookmarkStart w:id="92" w:name="_Toc21333"/>
      <w:bookmarkStart w:id="93" w:name="_Toc1627"/>
      <w:bookmarkStart w:id="94" w:name="_Toc8700"/>
      <w:r>
        <w:rPr>
          <w:rFonts w:hint="eastAsia" w:ascii="宋体" w:hAnsi="宋体" w:eastAsia="宋体" w:cs="宋体"/>
          <w:b/>
          <w:color w:val="000000" w:themeColor="text1"/>
          <w:kern w:val="0"/>
          <w:sz w:val="30"/>
          <w:szCs w:val="32"/>
          <w:highlight w:val="none"/>
          <w:lang w:val="zh-CN" w:eastAsia="zh-CN" w:bidi="ar-SA"/>
          <w14:textFill>
            <w14:solidFill>
              <w14:schemeClr w14:val="tx1"/>
            </w14:solidFill>
          </w14:textFill>
        </w:rPr>
        <w:t>第四章  合同文本（供参考）</w:t>
      </w:r>
      <w:bookmarkEnd w:id="87"/>
    </w:p>
    <w:p w14:paraId="34261D0D">
      <w:pPr>
        <w:spacing w:line="5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p>
    <w:p w14:paraId="155465EA">
      <w:pPr>
        <w:spacing w:line="520" w:lineRule="exact"/>
        <w:rPr>
          <w:rFonts w:hint="default" w:ascii="宋体" w:hAnsi="宋体" w:eastAsia="宋体" w:cs="宋体"/>
          <w:color w:val="000000" w:themeColor="text1"/>
          <w:sz w:val="2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4260DB4">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为保护甲乙双方合法权益，根据《中华人民共和国民法典》等有关法律法规和甲方202</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 xml:space="preserve">月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日出具的《中标通知书》，结合甲方招标文件、乙方投标文件等相关文件，特签订本协议：</w:t>
      </w:r>
    </w:p>
    <w:p w14:paraId="4B3B52D3">
      <w:pPr>
        <w:spacing w:line="52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一、总则</w:t>
      </w:r>
    </w:p>
    <w:p w14:paraId="3861027F">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w:t>
      </w:r>
      <w:r>
        <w:rPr>
          <w:rFonts w:hint="eastAsia" w:ascii="宋体" w:hAnsi="宋体" w:cs="宋体"/>
          <w:color w:val="000000" w:themeColor="text1"/>
          <w:szCs w:val="21"/>
          <w:highlight w:val="none"/>
          <w14:textFill>
            <w14:solidFill>
              <w14:schemeClr w14:val="tx1"/>
            </w14:solidFill>
          </w14:textFill>
        </w:rPr>
        <w:t>甲方通过招投标方式，择优确定将</w:t>
      </w:r>
      <w:r>
        <w:rPr>
          <w:rFonts w:hint="eastAsia" w:ascii="宋体" w:hAnsi="宋体" w:cs="宋体"/>
          <w:color w:val="000000" w:themeColor="text1"/>
          <w:kern w:val="0"/>
          <w:szCs w:val="21"/>
          <w:highlight w:val="none"/>
          <w:lang w:eastAsia="zh-CN"/>
          <w14:textFill>
            <w14:solidFill>
              <w14:schemeClr w14:val="tx1"/>
            </w14:solidFill>
          </w14:textFill>
        </w:rPr>
        <w:t>常山县财政局2025年度第二期财政资金竞争性存放项目</w:t>
      </w:r>
      <w:r>
        <w:rPr>
          <w:rFonts w:hint="eastAsia" w:ascii="宋体" w:hAnsi="宋体" w:cs="宋体"/>
          <w:color w:val="000000" w:themeColor="text1"/>
          <w:kern w:val="0"/>
          <w:szCs w:val="21"/>
          <w:highlight w:val="none"/>
          <w14:textFill>
            <w14:solidFill>
              <w14:schemeClr w14:val="tx1"/>
            </w14:solidFill>
          </w14:textFill>
        </w:rPr>
        <w:t>招标的部分</w:t>
      </w:r>
      <w:r>
        <w:rPr>
          <w:rFonts w:hint="eastAsia" w:ascii="宋体" w:hAnsi="宋体" w:cs="宋体"/>
          <w:color w:val="000000" w:themeColor="text1"/>
          <w:szCs w:val="21"/>
          <w:highlight w:val="none"/>
          <w14:textFill>
            <w14:solidFill>
              <w14:schemeClr w14:val="tx1"/>
            </w14:solidFill>
          </w14:textFill>
        </w:rPr>
        <w:t>存款存入乙方，其定期存款有关的资金管理、本息收回等活动适用本协议。</w:t>
      </w:r>
    </w:p>
    <w:p w14:paraId="74B5FC8C">
      <w:pPr>
        <w:keepNext w:val="0"/>
        <w:keepLines w:val="0"/>
        <w:pageBreakBefore w:val="0"/>
        <w:widowControl w:val="0"/>
        <w:kinsoku/>
        <w:wordWrap w:val="0"/>
        <w:overflowPunct/>
        <w:topLinePunct w:val="0"/>
        <w:autoSpaceDE/>
        <w:autoSpaceDN/>
        <w:bidi w:val="0"/>
        <w:adjustRightInd/>
        <w:snapToGrid/>
        <w:spacing w:line="520" w:lineRule="exact"/>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w:t>
      </w:r>
      <w:r>
        <w:rPr>
          <w:rFonts w:hint="eastAsia" w:ascii="宋体" w:hAnsi="宋体" w:cs="宋体"/>
          <w:color w:val="000000" w:themeColor="text1"/>
          <w:szCs w:val="21"/>
          <w:highlight w:val="none"/>
          <w14:textFill>
            <w14:solidFill>
              <w14:schemeClr w14:val="tx1"/>
            </w14:solidFill>
          </w14:textFill>
        </w:rPr>
        <w:t>经招投标确定，甲方在乙方开设定期存单，具体定期存款内容及金额：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元，大写</w:t>
      </w:r>
      <w:r>
        <w:rPr>
          <w:rFonts w:hint="eastAsia" w:ascii="宋体" w:hAnsi="宋体" w:cs="宋体"/>
          <w:color w:val="000000" w:themeColor="text1"/>
          <w:szCs w:val="21"/>
          <w:highlight w:val="none"/>
          <w:u w:val="none"/>
          <w14:textFill>
            <w14:solidFill>
              <w14:schemeClr w14:val="tx1"/>
            </w14:solidFill>
          </w14:textFill>
        </w:rPr>
        <w:t>人民币</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none"/>
          <w14:textFill>
            <w14:solidFill>
              <w14:schemeClr w14:val="tx1"/>
            </w14:solidFill>
          </w14:textFill>
        </w:rPr>
        <w:t>整</w:t>
      </w:r>
      <w:r>
        <w:rPr>
          <w:rFonts w:hint="eastAsia" w:ascii="宋体" w:hAnsi="宋体" w:cs="宋体"/>
          <w:color w:val="000000" w:themeColor="text1"/>
          <w:szCs w:val="21"/>
          <w:highlight w:val="none"/>
          <w14:textFill>
            <w14:solidFill>
              <w14:schemeClr w14:val="tx1"/>
            </w14:solidFill>
          </w14:textFill>
        </w:rPr>
        <w:t>，存款期限</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从</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日起至</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lang w:val="en-US" w:eastAsia="zh-CN"/>
          <w14:textFill>
            <w14:solidFill>
              <w14:schemeClr w14:val="tx1"/>
            </w14:solidFill>
          </w14:textFill>
        </w:rPr>
        <w:t>日止</w:t>
      </w:r>
      <w:r>
        <w:rPr>
          <w:rFonts w:hint="eastAsia" w:ascii="宋体" w:hAnsi="宋体" w:cs="宋体"/>
          <w:color w:val="000000" w:themeColor="text1"/>
          <w:szCs w:val="21"/>
          <w:highlight w:val="none"/>
          <w14:textFill>
            <w14:solidFill>
              <w14:schemeClr w14:val="tx1"/>
            </w14:solidFill>
          </w14:textFill>
        </w:rPr>
        <w:t>，定期存款利率</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2863C962">
      <w:pPr>
        <w:spacing w:line="52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二、甲方权利与义务</w:t>
      </w:r>
    </w:p>
    <w:p w14:paraId="52C9F9DA">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（一）甲方权利主要包括：</w:t>
      </w:r>
    </w:p>
    <w:p w14:paraId="1EF4BF97">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1、要求乙方提供定期存款存单；</w:t>
      </w:r>
    </w:p>
    <w:p w14:paraId="61F54D95">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2、根据资金管理需要，可提前</w:t>
      </w:r>
      <w:r>
        <w:rPr>
          <w:rFonts w:hint="eastAsia" w:ascii="宋体" w:hAnsi="宋体" w:cs="宋体"/>
          <w:color w:val="000000" w:themeColor="text1"/>
          <w:szCs w:val="21"/>
          <w:highlight w:val="none"/>
          <w:lang w:val="en-US" w:eastAsia="zh-CN"/>
          <w14:textFill>
            <w14:solidFill>
              <w14:schemeClr w14:val="tx1"/>
            </w14:solidFill>
          </w14:textFill>
        </w:rPr>
        <w:t>全部或部分</w:t>
      </w:r>
      <w:r>
        <w:rPr>
          <w:rFonts w:hint="eastAsia" w:ascii="宋体" w:hAnsi="宋体" w:cs="宋体"/>
          <w:color w:val="000000" w:themeColor="text1"/>
          <w:szCs w:val="21"/>
          <w:highlight w:val="none"/>
          <w14:textFill>
            <w14:solidFill>
              <w14:schemeClr w14:val="tx1"/>
            </w14:solidFill>
          </w14:textFill>
        </w:rPr>
        <w:t>支取或收回定期存款；</w:t>
      </w:r>
    </w:p>
    <w:p w14:paraId="56CAF839">
      <w:pPr>
        <w:spacing w:line="5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3、于定期存款到期日收回本息；</w:t>
      </w:r>
    </w:p>
    <w:p w14:paraId="0E0119BB">
      <w:pPr>
        <w:pStyle w:val="6"/>
        <w:spacing w:line="520" w:lineRule="exact"/>
        <w:ind w:firstLine="42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4、对乙方定期存款业务实施监督管理；</w:t>
      </w:r>
    </w:p>
    <w:p w14:paraId="6ACB98F9">
      <w:pPr>
        <w:pStyle w:val="6"/>
        <w:spacing w:line="520" w:lineRule="exact"/>
        <w:ind w:firstLine="420"/>
        <w:rPr>
          <w:rFonts w:hint="default" w:eastAsia="宋体"/>
          <w:color w:val="000000" w:themeColor="text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5、根据定期存款资金拨付和回收情况，做好资金账务处理，及时与乙方做好对账工作。</w:t>
      </w:r>
    </w:p>
    <w:p w14:paraId="1A342EF7">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（二）甲方义务主要包括：</w:t>
      </w:r>
    </w:p>
    <w:p w14:paraId="00FF1D91">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1、在双方签订定期存款协议后7个工作日内将存放资金划入乙方；</w:t>
      </w:r>
    </w:p>
    <w:p w14:paraId="7AB28026">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2、因资金支付需要提前支取定期存款，应</w:t>
      </w:r>
      <w:r>
        <w:rPr>
          <w:rFonts w:hint="eastAsia" w:ascii="宋体" w:hAnsi="宋体" w:cs="宋体"/>
          <w:color w:val="000000" w:themeColor="text1"/>
          <w:szCs w:val="21"/>
          <w:highlight w:val="none"/>
          <w:lang w:val="en-US" w:eastAsia="zh-CN"/>
          <w14:textFill>
            <w14:solidFill>
              <w14:schemeClr w14:val="tx1"/>
            </w14:solidFill>
          </w14:textFill>
        </w:rPr>
        <w:t>至少</w:t>
      </w:r>
      <w:r>
        <w:rPr>
          <w:rFonts w:hint="eastAsia" w:ascii="宋体" w:hAnsi="宋体" w:cs="宋体"/>
          <w:color w:val="000000" w:themeColor="text1"/>
          <w:szCs w:val="21"/>
          <w:highlight w:val="none"/>
          <w14:textFill>
            <w14:solidFill>
              <w14:schemeClr w14:val="tx1"/>
            </w14:solidFill>
          </w14:textFill>
        </w:rPr>
        <w:t>提前</w:t>
      </w:r>
      <w:r>
        <w:rPr>
          <w:rFonts w:hint="eastAsia" w:ascii="宋体" w:hAnsi="宋体" w:cs="宋体"/>
          <w:color w:val="000000" w:themeColor="text1"/>
          <w:szCs w:val="21"/>
          <w:highlight w:val="none"/>
          <w:lang w:val="en-US" w:eastAsia="zh-CN"/>
          <w14:textFill>
            <w14:solidFill>
              <w14:schemeClr w14:val="tx1"/>
            </w14:solidFill>
          </w14:textFill>
        </w:rPr>
        <w:t>2个工作日</w:t>
      </w:r>
      <w:r>
        <w:rPr>
          <w:rFonts w:hint="eastAsia" w:ascii="宋体" w:hAnsi="宋体" w:cs="宋体"/>
          <w:color w:val="000000" w:themeColor="text1"/>
          <w:szCs w:val="21"/>
          <w:highlight w:val="none"/>
          <w14:textFill>
            <w14:solidFill>
              <w14:schemeClr w14:val="tx1"/>
            </w14:solidFill>
          </w14:textFill>
        </w:rPr>
        <w:t>通知乙方。</w:t>
      </w:r>
    </w:p>
    <w:p w14:paraId="2A8C70DC">
      <w:pPr>
        <w:spacing w:line="52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三、乙方权利与义务</w:t>
      </w:r>
    </w:p>
    <w:p w14:paraId="3CACC4E3">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（一）乙方权利主要包括：在规定时间内接受甲方的存放资金；</w:t>
      </w:r>
    </w:p>
    <w:p w14:paraId="3F45F7B6">
      <w:pPr>
        <w:spacing w:line="52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（二）乙方义务主要包括：</w:t>
      </w:r>
    </w:p>
    <w:p w14:paraId="1D83E979">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1、及时向甲方提供定期存款存单；</w:t>
      </w:r>
    </w:p>
    <w:p w14:paraId="5A356C06">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2、配合甲方做好可能的资金提前支取工作；</w:t>
      </w:r>
    </w:p>
    <w:p w14:paraId="795EAB5D">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3、定期存款到期及时足额缴清甲方存款本息；</w:t>
      </w:r>
    </w:p>
    <w:p w14:paraId="0B1857B5">
      <w:pPr>
        <w:spacing w:line="52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4、确保甲方存放资金存续期间的资金安全</w:t>
      </w:r>
      <w:r>
        <w:rPr>
          <w:rFonts w:hint="eastAsia" w:ascii="宋体" w:hAnsi="宋体" w:cs="宋体"/>
          <w:color w:val="000000" w:themeColor="text1"/>
          <w:szCs w:val="21"/>
          <w:highlight w:val="none"/>
          <w:lang w:eastAsia="zh-CN"/>
          <w14:textFill>
            <w14:solidFill>
              <w14:schemeClr w14:val="tx1"/>
            </w14:solidFill>
          </w14:textFill>
        </w:rPr>
        <w:t>。定期存款存期内，接受甲方有关定期存款的监督与检查，遇有重大情况及时向甲方报告；</w:t>
      </w:r>
    </w:p>
    <w:p w14:paraId="53797A4D">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5、根据定期存款资金拨付和回收情况，做好资金账务处理，配合甲方做好对账工作</w:t>
      </w:r>
      <w:r>
        <w:rPr>
          <w:rFonts w:hint="eastAsia" w:ascii="宋体" w:hAnsi="宋体" w:cs="宋体"/>
          <w:color w:val="000000" w:themeColor="text1"/>
          <w:szCs w:val="21"/>
          <w:highlight w:val="none"/>
          <w14:textFill>
            <w14:solidFill>
              <w14:schemeClr w14:val="tx1"/>
            </w14:solidFill>
          </w14:textFill>
        </w:rPr>
        <w:t>。</w:t>
      </w:r>
    </w:p>
    <w:p w14:paraId="40AB7A47">
      <w:pPr>
        <w:spacing w:line="52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四、违约责任</w:t>
      </w:r>
    </w:p>
    <w:p w14:paraId="78FEA873">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除发生不可抗力外，违约责任按以下条款执行：</w:t>
      </w:r>
    </w:p>
    <w:p w14:paraId="7A3CAC6C">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w:t>
      </w:r>
      <w:r>
        <w:rPr>
          <w:rFonts w:hint="eastAsia" w:ascii="宋体" w:hAnsi="宋体" w:cs="宋体"/>
          <w:color w:val="000000" w:themeColor="text1"/>
          <w:szCs w:val="21"/>
          <w:highlight w:val="none"/>
          <w:lang w:val="en-US" w:eastAsia="zh-CN"/>
          <w14:textFill>
            <w14:solidFill>
              <w14:schemeClr w14:val="tx1"/>
            </w14:solidFill>
          </w14:textFill>
        </w:rPr>
        <w:t>存款到期后，</w:t>
      </w:r>
      <w:r>
        <w:rPr>
          <w:rFonts w:hint="eastAsia" w:ascii="宋体" w:hAnsi="宋体" w:cs="宋体"/>
          <w:color w:val="000000" w:themeColor="text1"/>
          <w:szCs w:val="21"/>
          <w:highlight w:val="none"/>
          <w14:textFill>
            <w14:solidFill>
              <w14:schemeClr w14:val="tx1"/>
            </w14:solidFill>
          </w14:textFill>
        </w:rPr>
        <w:t>乙方未按约定将存款本息足额划回甲方，应按欠还存款本息额，以协议中定期存款年利率的两倍折成日收益率，按日向甲方支付违约金；</w:t>
      </w:r>
    </w:p>
    <w:p w14:paraId="272EA16C">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（二）甲方未按约定将甲方确认的资金划拨乙方，应按未划拨资金额，以协议中定期存款年利率的两倍折成日收益率，按日向乙方支付违约金；</w:t>
      </w:r>
    </w:p>
    <w:p w14:paraId="42E9D279">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（三）有下列情形之一的，甲方有权提前收回在乙方的存放资金，并有权取消乙方参与甲方以后各期资金竞争性存放投标资格：</w:t>
      </w:r>
    </w:p>
    <w:p w14:paraId="73130EF7">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1、乙方在资金存续期间出现资金安全事故</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重大违规违法行为或财务状况恶化的；</w:t>
      </w:r>
    </w:p>
    <w:p w14:paraId="40FA88F0">
      <w:pPr>
        <w:spacing w:line="520" w:lineRule="exact"/>
        <w:ind w:firstLine="420" w:firstLineChars="200"/>
        <w:rPr>
          <w:rFonts w:ascii="宋体" w:hAnsi="宋体" w:eastAsia="仿宋"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2、监管评级降低监管部门认为乙方存在较大运营风险的；</w:t>
      </w:r>
    </w:p>
    <w:p w14:paraId="01CE527B">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3、进行不正当投标的；</w:t>
      </w:r>
    </w:p>
    <w:p w14:paraId="107CEF0D">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4、乙方没有按照本协议规定履行相应的责任和义务的；</w:t>
      </w:r>
    </w:p>
    <w:p w14:paraId="5573916F">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5、不能按规定将到期存款本息足额缴入</w:t>
      </w:r>
      <w:r>
        <w:rPr>
          <w:rFonts w:hint="eastAsia" w:ascii="宋体" w:hAnsi="宋体" w:cs="宋体"/>
          <w:color w:val="000000" w:themeColor="text1"/>
          <w:szCs w:val="21"/>
          <w:highlight w:val="none"/>
          <w:lang w:val="en-US" w:eastAsia="zh-CN"/>
          <w14:textFill>
            <w14:solidFill>
              <w14:schemeClr w14:val="tx1"/>
            </w14:solidFill>
          </w14:textFill>
        </w:rPr>
        <w:t>甲方</w:t>
      </w:r>
      <w:r>
        <w:rPr>
          <w:rFonts w:hint="eastAsia" w:ascii="宋体" w:hAnsi="宋体" w:cs="宋体"/>
          <w:color w:val="000000" w:themeColor="text1"/>
          <w:szCs w:val="21"/>
          <w:highlight w:val="none"/>
          <w:lang w:eastAsia="zh-CN"/>
          <w14:textFill>
            <w14:solidFill>
              <w14:schemeClr w14:val="tx1"/>
            </w14:solidFill>
          </w14:textFill>
        </w:rPr>
        <w:t>指定</w:t>
      </w:r>
      <w:r>
        <w:rPr>
          <w:rFonts w:hint="eastAsia" w:ascii="宋体" w:hAnsi="宋体" w:cs="宋体"/>
          <w:color w:val="000000" w:themeColor="text1"/>
          <w:szCs w:val="21"/>
          <w:highlight w:val="none"/>
          <w14:textFill>
            <w14:solidFill>
              <w14:schemeClr w14:val="tx1"/>
            </w14:solidFill>
          </w14:textFill>
        </w:rPr>
        <w:t>账户的；</w:t>
      </w:r>
    </w:p>
    <w:p w14:paraId="28D2F628">
      <w:pPr>
        <w:spacing w:line="52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6、乙方解散或其机构（分支机构）撤离常山区域的；</w:t>
      </w:r>
    </w:p>
    <w:p w14:paraId="6D44366D">
      <w:pPr>
        <w:spacing w:line="52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7、其他妨害甲方资金安全的情形。</w:t>
      </w:r>
    </w:p>
    <w:p w14:paraId="4EDA5BD3">
      <w:pPr>
        <w:spacing w:line="520" w:lineRule="exact"/>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五、提前支取</w:t>
      </w:r>
      <w:r>
        <w:rPr>
          <w:rFonts w:hint="eastAsia" w:ascii="宋体" w:hAnsi="宋体" w:eastAsia="宋体" w:cs="宋体"/>
          <w:b/>
          <w:bCs/>
          <w:color w:val="000000" w:themeColor="text1"/>
          <w:sz w:val="21"/>
          <w:szCs w:val="21"/>
          <w:highlight w:val="none"/>
          <w14:textFill>
            <w14:solidFill>
              <w14:schemeClr w14:val="tx1"/>
            </w14:solidFill>
          </w14:textFill>
        </w:rPr>
        <w:t>（收回）</w:t>
      </w:r>
    </w:p>
    <w:p w14:paraId="0D8C1B3F">
      <w:pPr>
        <w:spacing w:line="5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甲方可提前支取全部或部分定期存款，乙方应积极配合办理</w:t>
      </w:r>
      <w:r>
        <w:rPr>
          <w:rFonts w:hint="eastAsia" w:ascii="宋体" w:hAnsi="宋体" w:cs="宋体"/>
          <w:color w:val="000000" w:themeColor="text1"/>
          <w:szCs w:val="21"/>
          <w:highlight w:val="none"/>
          <w:lang w:eastAsia="zh-CN"/>
          <w14:textFill>
            <w14:solidFill>
              <w14:schemeClr w14:val="tx1"/>
            </w14:solidFill>
          </w14:textFill>
        </w:rPr>
        <w:t>，甲方至少应</w:t>
      </w:r>
      <w:r>
        <w:rPr>
          <w:rFonts w:hint="eastAsia" w:ascii="宋体" w:hAnsi="宋体" w:cs="宋体"/>
          <w:color w:val="000000" w:themeColor="text1"/>
          <w:szCs w:val="21"/>
          <w:highlight w:val="none"/>
          <w:lang w:val="en-US" w:eastAsia="zh-CN"/>
          <w14:textFill>
            <w14:solidFill>
              <w14:schemeClr w14:val="tx1"/>
            </w14:solidFill>
          </w14:textFill>
        </w:rPr>
        <w:t>提前</w:t>
      </w:r>
      <w:r>
        <w:rPr>
          <w:rFonts w:hint="eastAsia" w:ascii="宋体" w:hAnsi="宋体" w:cs="宋体"/>
          <w:color w:val="000000" w:themeColor="text1"/>
          <w:szCs w:val="21"/>
          <w:highlight w:val="none"/>
          <w:lang w:eastAsia="zh-CN"/>
          <w14:textFill>
            <w14:solidFill>
              <w14:schemeClr w14:val="tx1"/>
            </w14:solidFill>
          </w14:textFill>
        </w:rPr>
        <w:t>2个工作日通知乙方</w:t>
      </w:r>
      <w:r>
        <w:rPr>
          <w:rFonts w:hint="eastAsia" w:ascii="宋体" w:hAnsi="宋体" w:cs="宋体"/>
          <w:color w:val="000000" w:themeColor="text1"/>
          <w:szCs w:val="21"/>
          <w:highlight w:val="none"/>
          <w14:textFill>
            <w14:solidFill>
              <w14:schemeClr w14:val="tx1"/>
            </w14:solidFill>
          </w14:textFill>
        </w:rPr>
        <w:t>。提前支取部分，按中国人民银行规定</w:t>
      </w:r>
      <w:r>
        <w:rPr>
          <w:rFonts w:hint="eastAsia" w:ascii="宋体" w:hAnsi="宋体" w:cs="宋体"/>
          <w:color w:val="000000" w:themeColor="text1"/>
          <w:szCs w:val="21"/>
          <w:highlight w:val="none"/>
          <w:lang w:eastAsia="zh-CN"/>
          <w14:textFill>
            <w14:solidFill>
              <w14:schemeClr w14:val="tx1"/>
            </w14:solidFill>
          </w14:textFill>
        </w:rPr>
        <w:t>进行操作，存续金额仍按原起息日、期限及存款利率计付利息</w:t>
      </w:r>
      <w:r>
        <w:rPr>
          <w:rFonts w:hint="eastAsia" w:ascii="宋体" w:hAnsi="宋体" w:cs="宋体"/>
          <w:color w:val="000000" w:themeColor="text1"/>
          <w:szCs w:val="21"/>
          <w:highlight w:val="none"/>
          <w14:textFill>
            <w14:solidFill>
              <w14:schemeClr w14:val="tx1"/>
            </w14:solidFill>
          </w14:textFill>
        </w:rPr>
        <w:t>。</w:t>
      </w:r>
    </w:p>
    <w:p w14:paraId="67432A63">
      <w:pPr>
        <w:numPr>
          <w:ilvl w:val="0"/>
          <w:numId w:val="2"/>
        </w:numPr>
        <w:spacing w:line="520" w:lineRule="exact"/>
        <w:ind w:firstLine="420" w:firstLineChars="200"/>
        <w:rPr>
          <w:rFonts w:hint="eastAsia" w:ascii="宋体" w:hAnsi="宋体" w:cs="宋体"/>
          <w:b/>
          <w:bCs/>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其他约定：</w:t>
      </w:r>
    </w:p>
    <w:p w14:paraId="66CFFC8D">
      <w:pPr>
        <w:numPr>
          <w:ilvl w:val="0"/>
          <w:numId w:val="0"/>
        </w:numPr>
        <w:spacing w:line="52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协议有效期内，若利率相关的法律法规、规章政策调整，或中国人民银行存款基准利率、存款自律约定、银行总行存款利率内部授权上限等发生调整，导致协议约定的利率水平超出允许范围，银行应在按本协议约定存款业务开办前及时通知客户银行存款利率调整情况。</w:t>
      </w:r>
    </w:p>
    <w:p w14:paraId="6B14B845">
      <w:pPr>
        <w:spacing w:line="520" w:lineRule="exact"/>
        <w:ind w:firstLine="420" w:firstLineChars="200"/>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2、银行存款利率内部授权上限调整，是指银行为满足国家宏观调控目标要求或落实存款利率市场化调整机制要求等，对本行可执行的内部授权上限进行的具有主动性、自律性、普遍性的调整。</w:t>
      </w:r>
    </w:p>
    <w:p w14:paraId="39B1F5F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3、客户有权提前终止本协议，并以书面形式告知。若客户选择继续执行本协议，则自相应调整生效当日起，新办理存款业务执行利率按不超过最新允许范围上限的利率执行。</w:t>
      </w:r>
    </w:p>
    <w:p w14:paraId="235871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4、若协议涉及的存款品种为单位活期存款或协定存款的，计息期间遇利率调整应分段计息，自相应调整生效当日起，按不</w:t>
      </w:r>
      <w:r>
        <w:rPr>
          <w:rFonts w:hint="eastAsia" w:ascii="宋体" w:hAnsi="宋体" w:cs="宋体"/>
          <w:color w:val="000000" w:themeColor="text1"/>
          <w:szCs w:val="21"/>
          <w:highlight w:val="none"/>
          <w:lang w:val="en-US" w:eastAsia="zh-CN"/>
          <w14:textFill>
            <w14:solidFill>
              <w14:schemeClr w14:val="tx1"/>
            </w14:solidFill>
          </w14:textFill>
        </w:rPr>
        <w:t>超过最新允许范围上限的利率分段计息。</w:t>
      </w:r>
    </w:p>
    <w:p w14:paraId="70DCAE8E">
      <w:pPr>
        <w:spacing w:line="240" w:lineRule="auto"/>
        <w:ind w:firstLine="420"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、争议的解决</w:t>
      </w:r>
    </w:p>
    <w:p w14:paraId="570A662B">
      <w:pPr>
        <w:spacing w:line="52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在协议履行过程中出现问题或争议的，双方应开展友好协商，妥善解决。如协商不成，任何一方有权</w:t>
      </w:r>
      <w:r>
        <w:rPr>
          <w:rFonts w:hint="eastAsia" w:ascii="宋体" w:hAnsi="宋体" w:cs="宋体"/>
          <w:color w:val="000000" w:themeColor="text1"/>
          <w:szCs w:val="21"/>
          <w:highlight w:val="none"/>
          <w:lang w:val="en-US" w:eastAsia="zh-CN"/>
          <w14:textFill>
            <w14:solidFill>
              <w14:schemeClr w14:val="tx1"/>
            </w14:solidFill>
          </w14:textFill>
        </w:rPr>
        <w:t>向常山县人民法院提起诉讼</w:t>
      </w:r>
      <w:r>
        <w:rPr>
          <w:rFonts w:hint="eastAsia" w:ascii="宋体" w:hAnsi="宋体" w:cs="宋体"/>
          <w:color w:val="000000" w:themeColor="text1"/>
          <w:szCs w:val="21"/>
          <w:highlight w:val="none"/>
          <w14:textFill>
            <w14:solidFill>
              <w14:schemeClr w14:val="tx1"/>
            </w14:solidFill>
          </w14:textFill>
        </w:rPr>
        <w:t>。</w:t>
      </w:r>
    </w:p>
    <w:p w14:paraId="6D1A815B">
      <w:pPr>
        <w:spacing w:line="520" w:lineRule="exact"/>
        <w:ind w:firstLine="420" w:firstLineChars="200"/>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八</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相关招标文件、投标文件等与本</w:t>
      </w:r>
      <w:r>
        <w:rPr>
          <w:rFonts w:hint="eastAsia" w:ascii="宋体" w:hAnsi="宋体" w:cs="宋体"/>
          <w:b w:val="0"/>
          <w:bCs w:val="0"/>
          <w:color w:val="000000" w:themeColor="text1"/>
          <w:szCs w:val="21"/>
          <w:highlight w:val="none"/>
          <w:lang w:val="en-US" w:eastAsia="zh-CN"/>
          <w14:textFill>
            <w14:solidFill>
              <w14:schemeClr w14:val="tx1"/>
            </w14:solidFill>
          </w14:textFill>
        </w:rPr>
        <w:t>协议不一致之处，以本协议为准</w:t>
      </w:r>
      <w:r>
        <w:rPr>
          <w:rFonts w:hint="eastAsia" w:ascii="宋体" w:hAnsi="宋体" w:cs="宋体"/>
          <w:b w:val="0"/>
          <w:bCs w:val="0"/>
          <w:color w:val="000000" w:themeColor="text1"/>
          <w:szCs w:val="21"/>
          <w:highlight w:val="none"/>
          <w14:textFill>
            <w14:solidFill>
              <w14:schemeClr w14:val="tx1"/>
            </w14:solidFill>
          </w14:textFill>
        </w:rPr>
        <w:t>。</w:t>
      </w:r>
    </w:p>
    <w:p w14:paraId="74DC7D45">
      <w:pPr>
        <w:keepNext w:val="0"/>
        <w:keepLines w:val="0"/>
        <w:pageBreakBefore w:val="0"/>
        <w:widowControl w:val="0"/>
        <w:kinsoku/>
        <w:wordWrap/>
        <w:overflowPunct/>
        <w:topLinePunct w:val="0"/>
        <w:autoSpaceDE/>
        <w:autoSpaceDN/>
        <w:bidi w:val="0"/>
        <w:adjustRightInd/>
        <w:snapToGrid/>
        <w:spacing w:line="520" w:lineRule="exact"/>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九、</w:t>
      </w:r>
      <w:r>
        <w:rPr>
          <w:rFonts w:hint="eastAsia" w:ascii="宋体" w:hAnsi="宋体" w:cs="宋体"/>
          <w:color w:val="000000" w:themeColor="text1"/>
          <w:szCs w:val="21"/>
          <w:highlight w:val="none"/>
          <w14:textFill>
            <w14:solidFill>
              <w14:schemeClr w14:val="tx1"/>
            </w14:solidFill>
          </w14:textFill>
        </w:rPr>
        <w:t>本协议一式</w:t>
      </w:r>
      <w:r>
        <w:rPr>
          <w:rFonts w:hint="eastAsia" w:ascii="宋体" w:hAnsi="宋体" w:cs="宋体"/>
          <w:color w:val="000000" w:themeColor="text1"/>
          <w:szCs w:val="21"/>
          <w:highlight w:val="none"/>
          <w:lang w:eastAsia="zh-CN"/>
          <w14:textFill>
            <w14:solidFill>
              <w14:schemeClr w14:val="tx1"/>
            </w14:solidFill>
          </w14:textFill>
        </w:rPr>
        <w:t>叁</w:t>
      </w:r>
      <w:r>
        <w:rPr>
          <w:rFonts w:hint="eastAsia" w:ascii="宋体" w:hAnsi="宋体" w:cs="宋体"/>
          <w:color w:val="000000" w:themeColor="text1"/>
          <w:szCs w:val="21"/>
          <w:highlight w:val="none"/>
          <w14:textFill>
            <w14:solidFill>
              <w14:schemeClr w14:val="tx1"/>
            </w14:solidFill>
          </w14:textFill>
        </w:rPr>
        <w:t>份，甲、乙双方各执</w:t>
      </w:r>
      <w:r>
        <w:rPr>
          <w:rFonts w:hint="eastAsia" w:ascii="宋体" w:hAnsi="宋体" w:cs="宋体"/>
          <w:color w:val="000000" w:themeColor="text1"/>
          <w:szCs w:val="21"/>
          <w:highlight w:val="none"/>
          <w:lang w:val="en-US" w:eastAsia="zh-CN"/>
          <w14:textFill>
            <w14:solidFill>
              <w14:schemeClr w14:val="tx1"/>
            </w14:solidFill>
          </w14:textFill>
        </w:rPr>
        <w:t>壹</w:t>
      </w:r>
      <w:r>
        <w:rPr>
          <w:rFonts w:hint="eastAsia" w:ascii="宋体" w:hAnsi="宋体" w:cs="宋体"/>
          <w:color w:val="000000" w:themeColor="text1"/>
          <w:szCs w:val="21"/>
          <w:highlight w:val="none"/>
          <w14:textFill>
            <w14:solidFill>
              <w14:schemeClr w14:val="tx1"/>
            </w14:solidFill>
          </w14:textFill>
        </w:rPr>
        <w:t>份，招标代理机构执</w:t>
      </w:r>
      <w:r>
        <w:rPr>
          <w:rFonts w:hint="eastAsia" w:ascii="宋体" w:hAnsi="宋体" w:cs="宋体"/>
          <w:color w:val="000000" w:themeColor="text1"/>
          <w:szCs w:val="21"/>
          <w:highlight w:val="none"/>
          <w:lang w:val="en-US" w:eastAsia="zh-CN"/>
          <w14:textFill>
            <w14:solidFill>
              <w14:schemeClr w14:val="tx1"/>
            </w14:solidFill>
          </w14:textFill>
        </w:rPr>
        <w:t>壹</w:t>
      </w:r>
      <w:r>
        <w:rPr>
          <w:rFonts w:hint="eastAsia" w:ascii="宋体" w:hAnsi="宋体" w:cs="宋体"/>
          <w:color w:val="000000" w:themeColor="text1"/>
          <w:szCs w:val="21"/>
          <w:highlight w:val="none"/>
          <w14:textFill>
            <w14:solidFill>
              <w14:schemeClr w14:val="tx1"/>
            </w14:solidFill>
          </w14:textFill>
        </w:rPr>
        <w:t>份。本协议自</w:t>
      </w:r>
      <w:r>
        <w:rPr>
          <w:rFonts w:hint="eastAsia" w:ascii="宋体" w:hAnsi="宋体" w:cs="宋体"/>
          <w:color w:val="000000" w:themeColor="text1"/>
          <w:szCs w:val="21"/>
          <w:highlight w:val="none"/>
          <w:lang w:val="en-US" w:eastAsia="zh-CN"/>
          <w14:textFill>
            <w14:solidFill>
              <w14:schemeClr w14:val="tx1"/>
            </w14:solidFill>
          </w14:textFill>
        </w:rPr>
        <w:t>甲、乙双方法定代表人或授权委托人签章并盖章之日</w:t>
      </w:r>
      <w:r>
        <w:rPr>
          <w:rFonts w:hint="eastAsia" w:ascii="宋体" w:hAnsi="宋体" w:cs="宋体"/>
          <w:color w:val="000000" w:themeColor="text1"/>
          <w:szCs w:val="21"/>
          <w:highlight w:val="none"/>
          <w14:textFill>
            <w14:solidFill>
              <w14:schemeClr w14:val="tx1"/>
            </w14:solidFill>
          </w14:textFill>
        </w:rPr>
        <w:t>起生效。</w:t>
      </w:r>
    </w:p>
    <w:p w14:paraId="4E12AC7A">
      <w:pPr>
        <w:pStyle w:val="6"/>
        <w:spacing w:line="52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以下无正文</w:t>
      </w:r>
      <w:r>
        <w:rPr>
          <w:rFonts w:hint="eastAsia" w:ascii="宋体" w:hAnsi="宋体" w:cs="宋体"/>
          <w:color w:val="000000" w:themeColor="text1"/>
          <w:szCs w:val="21"/>
          <w:highlight w:val="none"/>
          <w:lang w:eastAsia="zh-CN"/>
          <w14:textFill>
            <w14:solidFill>
              <w14:schemeClr w14:val="tx1"/>
            </w14:solidFill>
          </w14:textFill>
        </w:rPr>
        <w:t>）</w:t>
      </w:r>
    </w:p>
    <w:p w14:paraId="20774C04">
      <w:pPr>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br w:type="page"/>
      </w:r>
      <w:bookmarkStart w:id="113" w:name="_GoBack"/>
      <w:bookmarkEnd w:id="113"/>
    </w:p>
    <w:p w14:paraId="435A1337">
      <w:pPr>
        <w:spacing w:line="520" w:lineRule="exact"/>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本页无正文，为本协议签署页</w:t>
      </w:r>
      <w:r>
        <w:rPr>
          <w:rFonts w:hint="eastAsia" w:ascii="宋体" w:hAnsi="宋体" w:cs="宋体"/>
          <w:color w:val="000000" w:themeColor="text1"/>
          <w:szCs w:val="21"/>
          <w:highlight w:val="none"/>
          <w:lang w:eastAsia="zh-CN"/>
          <w14:textFill>
            <w14:solidFill>
              <w14:schemeClr w14:val="tx1"/>
            </w14:solidFill>
          </w14:textFill>
        </w:rPr>
        <w:t>）</w:t>
      </w:r>
    </w:p>
    <w:p w14:paraId="0ADAF2EA">
      <w:pPr>
        <w:spacing w:line="520" w:lineRule="exact"/>
        <w:jc w:val="left"/>
        <w:rPr>
          <w:rFonts w:hint="eastAsia" w:ascii="宋体" w:hAnsi="宋体" w:cs="宋体"/>
          <w:color w:val="000000" w:themeColor="text1"/>
          <w:szCs w:val="21"/>
          <w:highlight w:val="none"/>
          <w14:textFill>
            <w14:solidFill>
              <w14:schemeClr w14:val="tx1"/>
            </w14:solidFill>
          </w14:textFill>
        </w:rPr>
      </w:pPr>
    </w:p>
    <w:p w14:paraId="7B553D25">
      <w:pPr>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甲方（盖章）：                       乙方（盖章）：</w:t>
      </w:r>
    </w:p>
    <w:p w14:paraId="3FFCBE31">
      <w:pPr>
        <w:spacing w:line="520" w:lineRule="exact"/>
        <w:jc w:val="left"/>
        <w:rPr>
          <w:rFonts w:ascii="宋体" w:hAnsi="宋体" w:cs="宋体"/>
          <w:color w:val="000000" w:themeColor="text1"/>
          <w:szCs w:val="21"/>
          <w:highlight w:val="none"/>
          <w14:textFill>
            <w14:solidFill>
              <w14:schemeClr w14:val="tx1"/>
            </w14:solidFill>
          </w14:textFill>
        </w:rPr>
      </w:pPr>
    </w:p>
    <w:p w14:paraId="75F0ED9C">
      <w:pPr>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法定代表人：                        法定代表人（或在常机构负责人）：</w:t>
      </w:r>
    </w:p>
    <w:p w14:paraId="6B30D1A2">
      <w:pPr>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或授权委托人（签</w:t>
      </w:r>
      <w:r>
        <w:rPr>
          <w:rFonts w:hint="eastAsia" w:ascii="宋体" w:hAnsi="宋体" w:cs="宋体"/>
          <w:color w:val="000000" w:themeColor="text1"/>
          <w:szCs w:val="21"/>
          <w:highlight w:val="none"/>
          <w:lang w:val="en-US" w:eastAsia="zh-CN"/>
          <w14:textFill>
            <w14:solidFill>
              <w14:schemeClr w14:val="tx1"/>
            </w14:solidFill>
          </w14:textFill>
        </w:rPr>
        <w:t>章</w:t>
      </w:r>
      <w:r>
        <w:rPr>
          <w:rFonts w:hint="eastAsia" w:ascii="宋体" w:hAnsi="宋体" w:cs="宋体"/>
          <w:color w:val="000000" w:themeColor="text1"/>
          <w:szCs w:val="21"/>
          <w:highlight w:val="none"/>
          <w14:textFill>
            <w14:solidFill>
              <w14:schemeClr w14:val="tx1"/>
            </w14:solidFill>
          </w14:textFill>
        </w:rPr>
        <w:t>）：               或授权委托人（签</w:t>
      </w:r>
      <w:r>
        <w:rPr>
          <w:rFonts w:hint="eastAsia" w:ascii="宋体" w:hAnsi="宋体" w:cs="宋体"/>
          <w:color w:val="000000" w:themeColor="text1"/>
          <w:szCs w:val="21"/>
          <w:highlight w:val="none"/>
          <w:lang w:val="en-US" w:eastAsia="zh-CN"/>
          <w14:textFill>
            <w14:solidFill>
              <w14:schemeClr w14:val="tx1"/>
            </w14:solidFill>
          </w14:textFill>
        </w:rPr>
        <w:t>章</w:t>
      </w:r>
      <w:r>
        <w:rPr>
          <w:rFonts w:hint="eastAsia" w:ascii="宋体" w:hAnsi="宋体" w:cs="宋体"/>
          <w:color w:val="000000" w:themeColor="text1"/>
          <w:szCs w:val="21"/>
          <w:highlight w:val="none"/>
          <w14:textFill>
            <w14:solidFill>
              <w14:schemeClr w14:val="tx1"/>
            </w14:solidFill>
          </w14:textFill>
        </w:rPr>
        <w:t>）：</w:t>
      </w:r>
    </w:p>
    <w:p w14:paraId="77294C83">
      <w:pPr>
        <w:tabs>
          <w:tab w:val="center" w:pos="4153"/>
        </w:tabs>
        <w:spacing w:line="520" w:lineRule="exact"/>
        <w:jc w:val="left"/>
        <w:rPr>
          <w:rFonts w:hint="eastAsia" w:ascii="宋体" w:hAnsi="宋体" w:cs="宋体"/>
          <w:color w:val="000000" w:themeColor="text1"/>
          <w:szCs w:val="21"/>
          <w:highlight w:val="none"/>
          <w14:textFill>
            <w14:solidFill>
              <w14:schemeClr w14:val="tx1"/>
            </w14:solidFill>
          </w14:textFill>
        </w:rPr>
      </w:pPr>
    </w:p>
    <w:p w14:paraId="0BADC113">
      <w:pPr>
        <w:tabs>
          <w:tab w:val="center" w:pos="4153"/>
        </w:tabs>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地址 ：                              地址：</w:t>
      </w:r>
    </w:p>
    <w:p w14:paraId="02B8D163">
      <w:pPr>
        <w:spacing w:line="520" w:lineRule="exact"/>
        <w:jc w:val="left"/>
        <w:rPr>
          <w:rFonts w:hint="eastAsia" w:ascii="宋体" w:hAnsi="宋体" w:cs="宋体"/>
          <w:color w:val="000000" w:themeColor="text1"/>
          <w:szCs w:val="21"/>
          <w:highlight w:val="none"/>
          <w14:textFill>
            <w14:solidFill>
              <w14:schemeClr w14:val="tx1"/>
            </w14:solidFill>
          </w14:textFill>
        </w:rPr>
      </w:pPr>
    </w:p>
    <w:p w14:paraId="6FA9806A">
      <w:pPr>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联系电话：                           联系电话：</w:t>
      </w:r>
    </w:p>
    <w:p w14:paraId="12071E30">
      <w:pPr>
        <w:spacing w:line="520" w:lineRule="exact"/>
        <w:jc w:val="left"/>
        <w:rPr>
          <w:rFonts w:ascii="宋体" w:hAnsi="宋体" w:cs="宋体"/>
          <w:color w:val="000000" w:themeColor="text1"/>
          <w:szCs w:val="21"/>
          <w:highlight w:val="none"/>
          <w14:textFill>
            <w14:solidFill>
              <w14:schemeClr w14:val="tx1"/>
            </w14:solidFill>
          </w14:textFill>
        </w:rPr>
      </w:pPr>
    </w:p>
    <w:p w14:paraId="16CAD695">
      <w:pPr>
        <w:spacing w:line="5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签约时间：    年   月   日           签约时间：    年   月   日</w:t>
      </w:r>
    </w:p>
    <w:p w14:paraId="49277A83">
      <w:pPr>
        <w:spacing w:line="520" w:lineRule="exact"/>
        <w:rPr>
          <w:rFonts w:ascii="宋体" w:hAnsi="宋体" w:cs="宋体"/>
          <w:color w:val="000000" w:themeColor="text1"/>
          <w:szCs w:val="21"/>
          <w:highlight w:val="none"/>
          <w14:textFill>
            <w14:solidFill>
              <w14:schemeClr w14:val="tx1"/>
            </w14:solidFill>
          </w14:textFill>
        </w:rPr>
      </w:pPr>
    </w:p>
    <w:p w14:paraId="72736C48">
      <w:pPr>
        <w:spacing w:line="5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2EFCB437">
      <w:pPr>
        <w:spacing w:line="5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p>
    <w:p w14:paraId="4072BEF8">
      <w:pPr>
        <w:spacing w:line="5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09F9B3DF">
      <w:pPr>
        <w:keepNext w:val="0"/>
        <w:keepLines w:val="0"/>
        <w:pageBreakBefore w:val="0"/>
        <w:widowControl w:val="0"/>
        <w:kinsoku/>
        <w:wordWrap/>
        <w:overflowPunct/>
        <w:topLinePunct w:val="0"/>
        <w:autoSpaceDE/>
        <w:autoSpaceDN/>
        <w:bidi w:val="0"/>
        <w:adjustRightInd/>
        <w:snapToGrid/>
        <w:spacing w:line="720" w:lineRule="auto"/>
        <w:ind w:right="28"/>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48269C3F">
      <w:pPr>
        <w:spacing w:line="560" w:lineRule="exact"/>
        <w:ind w:right="26" w:firstLine="570"/>
        <w:jc w:val="left"/>
        <w:rPr>
          <w:rFonts w:hint="eastAsia" w:ascii="仿宋_GB2312" w:hAnsi="仿宋" w:eastAsia="仿宋_GB2312" w:cs="仿宋_GB2312"/>
          <w:color w:val="000000" w:themeColor="text1"/>
          <w:sz w:val="32"/>
          <w:szCs w:val="32"/>
          <w:highlight w:val="none"/>
          <w14:textFill>
            <w14:solidFill>
              <w14:schemeClr w14:val="tx1"/>
            </w14:solidFill>
          </w14:textFill>
        </w:rPr>
      </w:pPr>
    </w:p>
    <w:p w14:paraId="2500B12A">
      <w:pPr>
        <w:spacing w:line="560" w:lineRule="exact"/>
        <w:ind w:right="26" w:firstLine="420" w:firstLineChars="200"/>
        <w:rPr>
          <w:rFonts w:hint="eastAsia" w:ascii="宋体" w:hAnsi="宋体" w:eastAsia="宋体" w:cs="宋体"/>
          <w:color w:val="000000" w:themeColor="text1"/>
          <w:sz w:val="21"/>
          <w:szCs w:val="21"/>
          <w:highlight w:val="none"/>
          <w14:textFill>
            <w14:solidFill>
              <w14:schemeClr w14:val="tx1"/>
            </w14:solidFill>
          </w14:textFill>
        </w:rPr>
      </w:pPr>
    </w:p>
    <w:p w14:paraId="0E992D97">
      <w:pPr>
        <w:pStyle w:val="14"/>
        <w:spacing w:line="700" w:lineRule="exact"/>
        <w:outlineLvl w:val="0"/>
        <w:rPr>
          <w:rFonts w:hint="eastAsia" w:ascii="宋体" w:hAnsi="宋体" w:eastAsia="宋体" w:cs="宋体"/>
          <w:color w:val="000000" w:themeColor="text1"/>
          <w:sz w:val="30"/>
          <w:szCs w:val="32"/>
          <w:highlight w:val="none"/>
          <w:lang w:val="zh-CN" w:eastAsia="zh-CN"/>
          <w14:textFill>
            <w14:solidFill>
              <w14:schemeClr w14:val="tx1"/>
            </w14:solidFill>
          </w14:textFill>
        </w:rPr>
      </w:pPr>
      <w:r>
        <w:rPr>
          <w:rFonts w:hint="eastAsia" w:ascii="宋体" w:hAnsi="宋体" w:eastAsia="宋体" w:cs="宋体"/>
          <w:color w:val="000000" w:themeColor="text1"/>
          <w:sz w:val="30"/>
          <w:szCs w:val="32"/>
          <w:highlight w:val="none"/>
          <w:lang w:val="zh-CN" w:eastAsia="zh-CN"/>
          <w14:textFill>
            <w14:solidFill>
              <w14:schemeClr w14:val="tx1"/>
            </w14:solidFill>
          </w14:textFill>
        </w:rPr>
        <w:br w:type="page"/>
      </w:r>
      <w:bookmarkStart w:id="95" w:name="_Toc16507"/>
      <w:r>
        <w:rPr>
          <w:rFonts w:hint="eastAsia" w:ascii="宋体" w:hAnsi="宋体" w:eastAsia="宋体" w:cs="宋体"/>
          <w:color w:val="000000" w:themeColor="text1"/>
          <w:sz w:val="30"/>
          <w:szCs w:val="32"/>
          <w:highlight w:val="none"/>
          <w:lang w:val="zh-CN" w:eastAsia="zh-CN"/>
          <w14:textFill>
            <w14:solidFill>
              <w14:schemeClr w14:val="tx1"/>
            </w14:solidFill>
          </w14:textFill>
        </w:rPr>
        <w:t>第五章  评标办法及评分标准</w:t>
      </w:r>
      <w:bookmarkEnd w:id="95"/>
    </w:p>
    <w:p w14:paraId="161C25E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一、评标原则</w:t>
      </w:r>
    </w:p>
    <w:p w14:paraId="62BEEC13">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工作遵循公平、公正、科学、择优原则和诚实、信誉、效率的原则。本着科学、严谨的态度，认真进行评标。择优选用，推进技术进步，确保工程质量、交货按期，节约投资，最大限度的保护当事人权益。严格按照</w:t>
      </w:r>
      <w:r>
        <w:rPr>
          <w:rFonts w:hint="eastAsia" w:ascii="宋体" w:hAnsi="宋体" w:eastAsia="宋体" w:cs="宋体"/>
          <w:color w:val="000000" w:themeColor="text1"/>
          <w:szCs w:val="21"/>
          <w:highlight w:val="none"/>
          <w:lang w:eastAsia="zh-CN"/>
          <w14:textFill>
            <w14:solidFill>
              <w14:schemeClr w14:val="tx1"/>
            </w14:solidFill>
          </w14:textFill>
        </w:rPr>
        <w:t>招标文件</w:t>
      </w:r>
      <w:r>
        <w:rPr>
          <w:rFonts w:hint="eastAsia" w:ascii="宋体" w:hAnsi="宋体" w:eastAsia="宋体" w:cs="宋体"/>
          <w:color w:val="000000" w:themeColor="text1"/>
          <w:szCs w:val="21"/>
          <w:highlight w:val="none"/>
          <w14:textFill>
            <w14:solidFill>
              <w14:schemeClr w14:val="tx1"/>
            </w14:solidFill>
          </w14:textFill>
        </w:rPr>
        <w:t>的商务、技术要求，对投标文件进行综合评定，提出优选方案，编写评标报告。对落标单位，评标委员会不做任何落标解释。投标人不得以任何方式干扰招投标工作的进行，一经发现其投标文件将被拒绝。</w:t>
      </w:r>
    </w:p>
    <w:p w14:paraId="136923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二、评标组织</w:t>
      </w:r>
    </w:p>
    <w:p w14:paraId="4E908CE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评标委员会由</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名招标人代表及</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名专家组成。评标委员会负责对投标文件进行审查、质疑、评估和比较。询标（如有）时投标人</w:t>
      </w:r>
      <w:r>
        <w:rPr>
          <w:rFonts w:hint="eastAsia" w:ascii="宋体" w:hAnsi="宋体" w:eastAsia="宋体" w:cs="宋体"/>
          <w:color w:val="000000" w:themeColor="text1"/>
          <w:szCs w:val="21"/>
          <w:highlight w:val="none"/>
          <w:lang w:eastAsia="zh-CN"/>
          <w14:textFill>
            <w14:solidFill>
              <w14:schemeClr w14:val="tx1"/>
            </w14:solidFill>
          </w14:textFill>
        </w:rPr>
        <w:t>法定代表人（单位负责人）</w:t>
      </w:r>
      <w:r>
        <w:rPr>
          <w:rFonts w:hint="eastAsia" w:ascii="宋体" w:hAnsi="宋体" w:eastAsia="宋体" w:cs="宋体"/>
          <w:color w:val="000000" w:themeColor="text1"/>
          <w:szCs w:val="21"/>
          <w:highlight w:val="none"/>
          <w14:textFill>
            <w14:solidFill>
              <w14:schemeClr w14:val="tx1"/>
            </w14:solidFill>
          </w14:textFill>
        </w:rPr>
        <w:t>或其授权代理人必须负责</w:t>
      </w:r>
      <w:r>
        <w:rPr>
          <w:rFonts w:hint="eastAsia" w:ascii="宋体" w:hAnsi="宋体" w:eastAsia="宋体" w:cs="宋体"/>
          <w:color w:val="000000" w:themeColor="text1"/>
          <w:szCs w:val="21"/>
          <w:highlight w:val="none"/>
          <w:lang w:eastAsia="zh-CN"/>
          <w14:textFill>
            <w14:solidFill>
              <w14:schemeClr w14:val="tx1"/>
            </w14:solidFill>
          </w14:textFill>
        </w:rPr>
        <w:t>在规定时限内</w:t>
      </w:r>
      <w:r>
        <w:rPr>
          <w:rFonts w:hint="eastAsia" w:ascii="宋体" w:hAnsi="宋体" w:eastAsia="宋体" w:cs="宋体"/>
          <w:color w:val="000000" w:themeColor="text1"/>
          <w:szCs w:val="21"/>
          <w:highlight w:val="none"/>
          <w14:textFill>
            <w14:solidFill>
              <w14:schemeClr w14:val="tx1"/>
            </w14:solidFill>
          </w14:textFill>
        </w:rPr>
        <w:t>解答有关事宜。如</w:t>
      </w:r>
      <w:r>
        <w:rPr>
          <w:rFonts w:hint="eastAsia" w:ascii="宋体" w:hAnsi="宋体" w:eastAsia="宋体" w:cs="宋体"/>
          <w:color w:val="000000" w:themeColor="text1"/>
          <w:sz w:val="21"/>
          <w:szCs w:val="21"/>
          <w:highlight w:val="none"/>
          <w:lang w:eastAsia="zh-CN"/>
          <w14:textFill>
            <w14:solidFill>
              <w14:schemeClr w14:val="tx1"/>
            </w14:solidFill>
          </w14:textFill>
        </w:rPr>
        <w:t>逾期不回复的</w:t>
      </w:r>
      <w:r>
        <w:rPr>
          <w:rFonts w:hint="eastAsia" w:ascii="宋体" w:hAnsi="宋体" w:eastAsia="宋体" w:cs="宋体"/>
          <w:color w:val="000000" w:themeColor="text1"/>
          <w:sz w:val="21"/>
          <w:szCs w:val="21"/>
          <w:highlight w:val="none"/>
          <w14:textFill>
            <w14:solidFill>
              <w14:schemeClr w14:val="tx1"/>
            </w14:solidFill>
          </w14:textFill>
        </w:rPr>
        <w:t>，则事后不得对</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过程及结果提出异议。</w:t>
      </w:r>
    </w:p>
    <w:p w14:paraId="255FA886">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三</w:t>
      </w:r>
      <w:r>
        <w:rPr>
          <w:rFonts w:hint="eastAsia" w:ascii="宋体" w:hAnsi="宋体" w:eastAsia="宋体" w:cs="宋体"/>
          <w:b/>
          <w:color w:val="000000" w:themeColor="text1"/>
          <w:sz w:val="21"/>
          <w:szCs w:val="21"/>
          <w:highlight w:val="none"/>
          <w14:textFill>
            <w14:solidFill>
              <w14:schemeClr w14:val="tx1"/>
            </w14:solidFill>
          </w14:textFill>
        </w:rPr>
        <w:t>、评标办法</w:t>
      </w:r>
    </w:p>
    <w:p w14:paraId="1DA74AC7">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1.本次</w:t>
      </w:r>
      <w:r>
        <w:rPr>
          <w:rFonts w:hint="eastAsia" w:ascii="宋体" w:hAnsi="宋体" w:eastAsia="宋体" w:cs="宋体"/>
          <w:color w:val="000000" w:themeColor="text1"/>
          <w:sz w:val="21"/>
          <w:szCs w:val="21"/>
          <w:highlight w:val="none"/>
          <w:lang w:eastAsia="zh-CN"/>
          <w14:textFill>
            <w14:solidFill>
              <w14:schemeClr w14:val="tx1"/>
            </w14:solidFill>
          </w14:textFill>
        </w:rPr>
        <w:t>招标</w:t>
      </w:r>
      <w:r>
        <w:rPr>
          <w:rFonts w:hint="eastAsia" w:ascii="宋体" w:hAnsi="宋体" w:eastAsia="宋体" w:cs="宋体"/>
          <w:color w:val="000000" w:themeColor="text1"/>
          <w:sz w:val="21"/>
          <w:szCs w:val="21"/>
          <w:highlight w:val="none"/>
          <w14:textFill>
            <w14:solidFill>
              <w14:schemeClr w14:val="tx1"/>
            </w14:solidFill>
          </w14:textFill>
        </w:rPr>
        <w:t>的评标办法采用百分制综合评分法。即以投标人完全响应</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设定的全部责任条款为前提，由评标委员会按</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中规定的各项因素进行综合评审。根据本项目</w:t>
      </w:r>
      <w:r>
        <w:rPr>
          <w:rFonts w:hint="eastAsia" w:ascii="宋体" w:hAnsi="宋体" w:eastAsia="宋体" w:cs="宋体"/>
          <w:color w:val="000000" w:themeColor="text1"/>
          <w:sz w:val="21"/>
          <w:szCs w:val="21"/>
          <w:highlight w:val="none"/>
          <w:lang w:eastAsia="zh-CN"/>
          <w14:textFill>
            <w14:solidFill>
              <w14:schemeClr w14:val="tx1"/>
            </w14:solidFill>
          </w14:textFill>
        </w:rPr>
        <w:t>招标文件</w:t>
      </w:r>
      <w:r>
        <w:rPr>
          <w:rFonts w:hint="eastAsia" w:ascii="宋体" w:hAnsi="宋体" w:eastAsia="宋体" w:cs="宋体"/>
          <w:color w:val="000000" w:themeColor="text1"/>
          <w:sz w:val="21"/>
          <w:szCs w:val="21"/>
          <w:highlight w:val="none"/>
          <w14:textFill>
            <w14:solidFill>
              <w14:schemeClr w14:val="tx1"/>
            </w14:solidFill>
          </w14:textFill>
        </w:rPr>
        <w:t>要求，按照本办法规定的内容和分值设置，进行综合分析比较，完成评标并起草评标报告，推荐合格的中标候选人（计算结果保留两位小数，四舍五入）。</w:t>
      </w:r>
    </w:p>
    <w:p w14:paraId="3C6130F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2.技术资信分的评定由各评委成员按评分细则进行评审打分，每人一张评分表，并记名。投标文件各项评分内容由评标委员会成员独立评分；评分时保留小数点后 1 位小数，计算评分值时保留小数点后 2 位小数，由评标委员会当场统一计算。如某张评分表的一个因素项目超过规定的分值范围，则该张评分表无效。评标委员会成员对投标人各项评分合计数的算术平均值为各投标人</w:t>
      </w:r>
      <w:r>
        <w:rPr>
          <w:rFonts w:hint="eastAsia" w:ascii="宋体" w:hAnsi="宋体" w:eastAsia="宋体" w:cs="宋体"/>
          <w:color w:val="000000" w:themeColor="text1"/>
          <w:sz w:val="21"/>
          <w:szCs w:val="21"/>
          <w:highlight w:val="none"/>
          <w:lang w:eastAsia="zh-CN"/>
          <w14:textFill>
            <w14:solidFill>
              <w14:schemeClr w14:val="tx1"/>
            </w14:solidFill>
          </w14:textFill>
        </w:rPr>
        <w:t>技术资信得分</w:t>
      </w:r>
      <w:r>
        <w:rPr>
          <w:rFonts w:hint="eastAsia" w:ascii="宋体" w:hAnsi="宋体" w:eastAsia="宋体" w:cs="宋体"/>
          <w:color w:val="000000" w:themeColor="text1"/>
          <w:sz w:val="21"/>
          <w:szCs w:val="21"/>
          <w:highlight w:val="none"/>
          <w14:textFill>
            <w14:solidFill>
              <w14:schemeClr w14:val="tx1"/>
            </w14:solidFill>
          </w14:textFill>
        </w:rPr>
        <w:t>，分值计算公式为：评标委员会各成员评分合计数／评标委员会组成人数（结果四舍五入后保留两位小数）</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59B5DFFD">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四、评分标准</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4"/>
        <w:gridCol w:w="1495"/>
        <w:gridCol w:w="4634"/>
        <w:gridCol w:w="1129"/>
        <w:gridCol w:w="1564"/>
      </w:tblGrid>
      <w:tr w14:paraId="567E7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76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7CF9E0A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评分项目</w:t>
            </w:r>
          </w:p>
        </w:tc>
        <w:tc>
          <w:tcPr>
            <w:tcW w:w="4634" w:type="dxa"/>
            <w:tcBorders>
              <w:top w:val="single" w:color="000000" w:sz="4" w:space="0"/>
              <w:left w:val="single" w:color="000000" w:sz="4" w:space="0"/>
              <w:bottom w:val="single" w:color="auto" w:sz="4" w:space="0"/>
              <w:right w:val="single" w:color="000000" w:sz="4" w:space="0"/>
            </w:tcBorders>
            <w:shd w:val="clear" w:color="auto" w:fill="auto"/>
            <w:vAlign w:val="center"/>
          </w:tcPr>
          <w:p w14:paraId="2A7F4D6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评分细则</w:t>
            </w:r>
          </w:p>
        </w:tc>
        <w:tc>
          <w:tcPr>
            <w:tcW w:w="112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3D06C4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分值（分）</w:t>
            </w:r>
          </w:p>
        </w:tc>
        <w:tc>
          <w:tcPr>
            <w:tcW w:w="156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B1388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备注</w:t>
            </w:r>
          </w:p>
        </w:tc>
      </w:tr>
      <w:tr w14:paraId="4A36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2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F7D7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一、利率水平（</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67DD6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定期存款年利率</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50CFF077">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一年期社保资金利率报价最高者得满分5分，且以最高者为基准，其他行定期存款年利率得分=定期存款利率报价/基准×5。</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D558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C6DADD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根据投标文件</w:t>
            </w:r>
          </w:p>
        </w:tc>
      </w:tr>
      <w:tr w14:paraId="502D6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9" w:hRule="atLeast"/>
        </w:trPr>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24E57A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35628C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28CF8338">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半年期社保资金利率报价最高者得满分5分，且以最高者为基准，其他行定期存款年利率得分=定期存款利率报价/基准×5。</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CFE838">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4A30CF">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30D5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12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8A2BF1C">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二、经营状况（</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5D7CCE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存款余额</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6E241EB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存款余额最高者得满分15分，每下降一个名次扣0.5分。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78BD20A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031FF1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市人行提供数据</w:t>
            </w:r>
          </w:p>
        </w:tc>
      </w:tr>
      <w:tr w14:paraId="14E99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82DED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686E374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存款余额增速</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666F589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存款余额增速最高者得满分5分，每下降一个名次扣0.3分。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4286CE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21E262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73902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2C65B0">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768B174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贷款余额</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01A111F8">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贷款余额最高者得满分15分，每下降一个名次扣0.5分。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2F7E43F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EA0ED1A">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528F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1" w:hRule="atLeast"/>
        </w:trPr>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6C18C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18F723B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贷款余额增速</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337A296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贷款余额增速最高者得满分5分，每下降一个名次扣0.3分。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A0347E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5EE3599">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1D3D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82F07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6D3D60A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不良贷款余额</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1834C6A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不良贷款余额最低者得满分5分，每下降一个名次扣0.3分。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4A5BF5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3E21AF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县金监局提供</w:t>
            </w:r>
          </w:p>
        </w:tc>
      </w:tr>
      <w:tr w14:paraId="5AB3B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127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DDD7B">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5136862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不良贷款处置</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5B998BEF">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不良贷款处置最高者得满分5分，每下降一个名次扣0.3分。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3BBAB49">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C7B3F8">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645D8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7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96618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三、经济贡献度（</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4</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w:t>
            </w:r>
          </w:p>
        </w:tc>
        <w:tc>
          <w:tcPr>
            <w:tcW w:w="1495" w:type="dxa"/>
            <w:tcBorders>
              <w:top w:val="single" w:color="auto" w:sz="4" w:space="0"/>
              <w:left w:val="single" w:color="auto" w:sz="4" w:space="0"/>
              <w:bottom w:val="single" w:color="auto" w:sz="4" w:space="0"/>
              <w:right w:val="single" w:color="auto" w:sz="4" w:space="0"/>
            </w:tcBorders>
            <w:shd w:val="clear" w:color="auto" w:fill="auto"/>
            <w:vAlign w:val="center"/>
          </w:tcPr>
          <w:p w14:paraId="3810538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绿色贷款余额</w:t>
            </w:r>
          </w:p>
        </w:tc>
        <w:tc>
          <w:tcPr>
            <w:tcW w:w="4634" w:type="dxa"/>
            <w:tcBorders>
              <w:top w:val="single" w:color="auto" w:sz="4" w:space="0"/>
              <w:left w:val="single" w:color="auto" w:sz="4" w:space="0"/>
              <w:bottom w:val="single" w:color="auto" w:sz="4" w:space="0"/>
              <w:right w:val="single" w:color="auto" w:sz="4" w:space="0"/>
            </w:tcBorders>
            <w:shd w:val="clear" w:color="auto" w:fill="auto"/>
            <w:vAlign w:val="center"/>
          </w:tcPr>
          <w:p w14:paraId="69855CC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绿色贷款余额最高者得满分10分，每下降一个名次扣0.5分。</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F1EF32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5E02C7">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市人行提供数据</w:t>
            </w:r>
          </w:p>
        </w:tc>
      </w:tr>
      <w:tr w14:paraId="56F1F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1274" w:type="dxa"/>
            <w:vMerge w:val="continue"/>
            <w:tcBorders>
              <w:top w:val="single" w:color="auto" w:sz="4" w:space="0"/>
              <w:left w:val="single" w:color="auto" w:sz="4" w:space="0"/>
              <w:right w:val="single" w:color="000000" w:sz="4" w:space="0"/>
            </w:tcBorders>
            <w:shd w:val="clear" w:color="auto" w:fill="auto"/>
            <w:vAlign w:val="center"/>
          </w:tcPr>
          <w:p w14:paraId="05E300D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c>
          <w:tcPr>
            <w:tcW w:w="1495" w:type="dxa"/>
            <w:tcBorders>
              <w:top w:val="single" w:color="auto" w:sz="4" w:space="0"/>
              <w:left w:val="nil"/>
              <w:bottom w:val="single" w:color="000000" w:sz="4" w:space="0"/>
              <w:right w:val="single" w:color="000000" w:sz="4" w:space="0"/>
            </w:tcBorders>
            <w:shd w:val="clear" w:color="auto" w:fill="auto"/>
            <w:vAlign w:val="center"/>
          </w:tcPr>
          <w:p w14:paraId="6EB93A82">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绿色贷款增速</w:t>
            </w:r>
          </w:p>
        </w:tc>
        <w:tc>
          <w:tcPr>
            <w:tcW w:w="4634" w:type="dxa"/>
            <w:tcBorders>
              <w:top w:val="single" w:color="auto" w:sz="4" w:space="0"/>
              <w:left w:val="single" w:color="000000" w:sz="4" w:space="0"/>
              <w:bottom w:val="single" w:color="000000" w:sz="4" w:space="0"/>
              <w:right w:val="single" w:color="000000" w:sz="4" w:space="0"/>
            </w:tcBorders>
            <w:shd w:val="clear" w:color="auto" w:fill="auto"/>
            <w:vAlign w:val="center"/>
          </w:tcPr>
          <w:p w14:paraId="6C0733B8">
            <w:pPr>
              <w:keepNext w:val="0"/>
              <w:keepLines w:val="0"/>
              <w:widowControl/>
              <w:suppressLineNumbers w:val="0"/>
              <w:jc w:val="both"/>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9</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月末</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绿色贷款</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增速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最高者得满分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分，每下降一个名次扣0.</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w:t>
            </w:r>
          </w:p>
        </w:tc>
        <w:tc>
          <w:tcPr>
            <w:tcW w:w="1129" w:type="dxa"/>
            <w:tcBorders>
              <w:top w:val="single" w:color="auto" w:sz="4" w:space="0"/>
              <w:left w:val="single" w:color="000000" w:sz="4" w:space="0"/>
              <w:bottom w:val="single" w:color="000000" w:sz="4" w:space="0"/>
              <w:right w:val="single" w:color="000000" w:sz="4" w:space="0"/>
            </w:tcBorders>
            <w:shd w:val="clear" w:color="auto" w:fill="auto"/>
            <w:vAlign w:val="center"/>
          </w:tcPr>
          <w:p w14:paraId="7B978121">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3D7E0847">
            <w:pPr>
              <w:jc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0A4A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274" w:type="dxa"/>
            <w:vMerge w:val="continue"/>
            <w:tcBorders>
              <w:left w:val="single" w:color="auto" w:sz="4" w:space="0"/>
              <w:right w:val="single" w:color="000000" w:sz="4" w:space="0"/>
            </w:tcBorders>
            <w:shd w:val="clear" w:color="auto" w:fill="auto"/>
            <w:vAlign w:val="center"/>
          </w:tcPr>
          <w:p w14:paraId="4C874041">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nil"/>
              <w:left w:val="nil"/>
              <w:bottom w:val="single" w:color="000000" w:sz="4" w:space="0"/>
              <w:right w:val="single" w:color="000000" w:sz="4" w:space="0"/>
            </w:tcBorders>
            <w:shd w:val="clear" w:color="auto" w:fill="auto"/>
            <w:vAlign w:val="center"/>
          </w:tcPr>
          <w:p w14:paraId="55FC0CE8">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金融数据评价</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10CA">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三</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季度金融数据评价分最高者得满分20分，每下降一个名次扣1分。</w:t>
            </w:r>
          </w:p>
        </w:tc>
        <w:tc>
          <w:tcPr>
            <w:tcW w:w="1129" w:type="dxa"/>
            <w:tcBorders>
              <w:top w:val="nil"/>
              <w:left w:val="single" w:color="000000" w:sz="4" w:space="0"/>
              <w:bottom w:val="single" w:color="000000" w:sz="4" w:space="0"/>
              <w:right w:val="single" w:color="000000" w:sz="4" w:space="0"/>
            </w:tcBorders>
            <w:shd w:val="clear" w:color="auto" w:fill="auto"/>
            <w:noWrap/>
            <w:vAlign w:val="center"/>
          </w:tcPr>
          <w:p w14:paraId="3E3F867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564" w:type="dxa"/>
            <w:vMerge w:val="restart"/>
            <w:tcBorders>
              <w:top w:val="single" w:color="000000" w:sz="4" w:space="0"/>
              <w:left w:val="single" w:color="000000" w:sz="4" w:space="0"/>
              <w:right w:val="single" w:color="000000" w:sz="4" w:space="0"/>
            </w:tcBorders>
            <w:shd w:val="clear" w:color="auto" w:fill="auto"/>
            <w:noWrap/>
            <w:vAlign w:val="center"/>
          </w:tcPr>
          <w:p w14:paraId="120C11F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县金融中心提供数据</w:t>
            </w:r>
          </w:p>
        </w:tc>
      </w:tr>
      <w:tr w14:paraId="23F1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1274" w:type="dxa"/>
            <w:vMerge w:val="continue"/>
            <w:tcBorders>
              <w:left w:val="single" w:color="auto" w:sz="4" w:space="0"/>
              <w:bottom w:val="single" w:color="000000" w:sz="4" w:space="0"/>
              <w:right w:val="single" w:color="000000" w:sz="4" w:space="0"/>
            </w:tcBorders>
            <w:shd w:val="clear" w:color="auto" w:fill="auto"/>
            <w:vAlign w:val="center"/>
          </w:tcPr>
          <w:p w14:paraId="3C6D7C5E">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nil"/>
              <w:left w:val="nil"/>
              <w:bottom w:val="single" w:color="000000" w:sz="4" w:space="0"/>
              <w:right w:val="single" w:color="000000" w:sz="4" w:space="0"/>
            </w:tcBorders>
            <w:shd w:val="clear" w:color="auto" w:fill="auto"/>
            <w:vAlign w:val="center"/>
          </w:tcPr>
          <w:p w14:paraId="4A0B2580">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机构设置情况</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4615">
            <w:pPr>
              <w:keepNext w:val="0"/>
              <w:keepLines w:val="0"/>
              <w:widowControl/>
              <w:suppressLineNumbers w:val="0"/>
              <w:jc w:val="left"/>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在我县设置支行的得5分，设置小微企业专营支行的得2分。</w:t>
            </w:r>
          </w:p>
        </w:tc>
        <w:tc>
          <w:tcPr>
            <w:tcW w:w="1129" w:type="dxa"/>
            <w:tcBorders>
              <w:top w:val="nil"/>
              <w:left w:val="single" w:color="000000" w:sz="4" w:space="0"/>
              <w:bottom w:val="single" w:color="000000" w:sz="4" w:space="0"/>
              <w:right w:val="single" w:color="000000" w:sz="4" w:space="0"/>
            </w:tcBorders>
            <w:shd w:val="clear" w:color="auto" w:fill="auto"/>
            <w:noWrap/>
            <w:vAlign w:val="center"/>
          </w:tcPr>
          <w:p w14:paraId="52F1F18A">
            <w:pPr>
              <w:keepNext w:val="0"/>
              <w:keepLines w:val="0"/>
              <w:widowControl/>
              <w:suppressLineNumbers w:val="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564" w:type="dxa"/>
            <w:vMerge w:val="continue"/>
            <w:tcBorders>
              <w:left w:val="single" w:color="000000" w:sz="4" w:space="0"/>
              <w:bottom w:val="single" w:color="auto" w:sz="4" w:space="0"/>
              <w:right w:val="single" w:color="000000" w:sz="4" w:space="0"/>
            </w:tcBorders>
            <w:shd w:val="clear" w:color="auto" w:fill="auto"/>
            <w:noWrap/>
            <w:vAlign w:val="center"/>
          </w:tcPr>
          <w:p w14:paraId="03B3DE0E">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p>
        </w:tc>
      </w:tr>
      <w:tr w14:paraId="6D533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74" w:type="dxa"/>
            <w:vMerge w:val="restart"/>
            <w:tcBorders>
              <w:top w:val="single" w:color="000000" w:sz="4" w:space="0"/>
              <w:left w:val="single" w:color="000000" w:sz="4" w:space="0"/>
              <w:right w:val="single" w:color="000000" w:sz="4" w:space="0"/>
            </w:tcBorders>
            <w:shd w:val="clear" w:color="auto" w:fill="auto"/>
            <w:vAlign w:val="center"/>
          </w:tcPr>
          <w:p w14:paraId="60D993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四、加</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扣</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分项目</w:t>
            </w: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BAFF">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服务县重点经济指标（加分项）</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47F">
            <w:pPr>
              <w:keepNext w:val="0"/>
              <w:keepLines w:val="0"/>
              <w:widowControl/>
              <w:suppressLineNumbers w:val="0"/>
              <w:jc w:val="left"/>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2025年9月末，引入外域贷款每1亿元，加0.3分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，加分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上限4分。</w:t>
            </w:r>
          </w:p>
        </w:tc>
        <w:tc>
          <w:tcPr>
            <w:tcW w:w="1129" w:type="dxa"/>
            <w:tcBorders>
              <w:top w:val="single" w:color="000000" w:sz="4" w:space="0"/>
              <w:left w:val="single" w:color="000000" w:sz="4" w:space="0"/>
              <w:bottom w:val="single" w:color="000000" w:sz="4" w:space="0"/>
              <w:right w:val="single" w:color="auto" w:sz="4" w:space="0"/>
            </w:tcBorders>
            <w:shd w:val="clear" w:color="auto" w:fill="auto"/>
            <w:vAlign w:val="center"/>
          </w:tcPr>
          <w:p w14:paraId="3B65E427">
            <w:pPr>
              <w:keepNext w:val="0"/>
              <w:keepLines w:val="0"/>
              <w:widowControl/>
              <w:suppressLineNumbers w:val="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8BECC16">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县金融中心提供数据</w:t>
            </w:r>
          </w:p>
          <w:p w14:paraId="5B7068FC">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16C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274" w:type="dxa"/>
            <w:vMerge w:val="continue"/>
            <w:tcBorders>
              <w:left w:val="single" w:color="000000" w:sz="4" w:space="0"/>
              <w:right w:val="single" w:color="000000" w:sz="4" w:space="0"/>
            </w:tcBorders>
            <w:shd w:val="clear" w:color="auto" w:fill="auto"/>
            <w:vAlign w:val="center"/>
          </w:tcPr>
          <w:p w14:paraId="478F8AC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6AA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县级资产盘活工作（加分项）</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E163">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2025年度对县级国有资产盘活项目融资贷款每1亿元，加0.5分</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加</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分</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上限6分（财政资金第一期招标已加分银行，加</w:t>
            </w: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分上限</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0.5分）。</w:t>
            </w:r>
          </w:p>
        </w:tc>
        <w:tc>
          <w:tcPr>
            <w:tcW w:w="1129" w:type="dxa"/>
            <w:tcBorders>
              <w:top w:val="single" w:color="000000" w:sz="4" w:space="0"/>
              <w:left w:val="single" w:color="000000" w:sz="4" w:space="0"/>
              <w:bottom w:val="single" w:color="000000" w:sz="4" w:space="0"/>
              <w:right w:val="single" w:color="auto" w:sz="4" w:space="0"/>
            </w:tcBorders>
            <w:shd w:val="clear" w:color="auto" w:fill="auto"/>
            <w:vAlign w:val="center"/>
          </w:tcPr>
          <w:p w14:paraId="66664C36">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5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BBCB277">
            <w:pPr>
              <w:keepNext w:val="0"/>
              <w:keepLines w:val="0"/>
              <w:widowControl/>
              <w:suppressLineNumbers w:val="0"/>
              <w:jc w:val="both"/>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r>
      <w:tr w14:paraId="021C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274" w:type="dxa"/>
            <w:vMerge w:val="continue"/>
            <w:tcBorders>
              <w:left w:val="single" w:color="000000" w:sz="4" w:space="0"/>
              <w:bottom w:val="single" w:color="000000" w:sz="4" w:space="0"/>
              <w:right w:val="single" w:color="000000" w:sz="4" w:space="0"/>
            </w:tcBorders>
            <w:shd w:val="clear" w:color="auto" w:fill="auto"/>
            <w:vAlign w:val="center"/>
          </w:tcPr>
          <w:p w14:paraId="7E728684">
            <w:pPr>
              <w:jc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BCCD">
            <w:pPr>
              <w:keepNext w:val="0"/>
              <w:keepLines w:val="0"/>
              <w:widowControl/>
              <w:suppressLineNumbers w:val="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服务水平</w:t>
            </w:r>
          </w:p>
          <w:p w14:paraId="3CC0C8EE">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（扣分项）</w:t>
            </w:r>
          </w:p>
        </w:tc>
        <w:tc>
          <w:tcPr>
            <w:tcW w:w="4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28C">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根据2025年度各金融机构代理、办理财政业务情况，出现重大差错的银行，扣1分。</w:t>
            </w:r>
          </w:p>
        </w:tc>
        <w:tc>
          <w:tcPr>
            <w:tcW w:w="1129" w:type="dxa"/>
            <w:tcBorders>
              <w:top w:val="single" w:color="000000" w:sz="4" w:space="0"/>
              <w:left w:val="single" w:color="000000" w:sz="4" w:space="0"/>
              <w:bottom w:val="single" w:color="000000" w:sz="4" w:space="0"/>
              <w:right w:val="single" w:color="auto" w:sz="4" w:space="0"/>
            </w:tcBorders>
            <w:shd w:val="clear" w:color="auto" w:fill="auto"/>
            <w:vAlign w:val="center"/>
          </w:tcPr>
          <w:p w14:paraId="7FE713E3">
            <w:pPr>
              <w:keepNext w:val="0"/>
              <w:keepLines w:val="0"/>
              <w:widowControl/>
              <w:suppressLineNumbers w:val="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56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B77D81">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14:textFill>
                  <w14:solidFill>
                    <w14:schemeClr w14:val="tx1"/>
                  </w14:solidFill>
                </w14:textFill>
              </w:rPr>
              <w:t>县财政提供数据</w:t>
            </w:r>
          </w:p>
        </w:tc>
      </w:tr>
    </w:tbl>
    <w:p w14:paraId="33A485E8">
      <w:pPr>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注：</w:t>
      </w:r>
      <w:r>
        <w:rPr>
          <w:rFonts w:hint="eastAsia" w:ascii="宋体" w:hAnsi="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lang w:eastAsia="zh-CN"/>
          <w14:textFill>
            <w14:solidFill>
              <w14:schemeClr w14:val="tx1"/>
            </w14:solidFill>
          </w14:textFill>
        </w:rPr>
        <w:t>上表中“</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经营状况、经济贡献度”</w:t>
      </w:r>
      <w:r>
        <w:rPr>
          <w:rFonts w:hint="eastAsia" w:ascii="宋体" w:hAnsi="宋体" w:cs="宋体"/>
          <w:b/>
          <w:bCs/>
          <w:color w:val="000000" w:themeColor="text1"/>
          <w:kern w:val="0"/>
          <w:sz w:val="21"/>
          <w:szCs w:val="21"/>
          <w:highlight w:val="none"/>
          <w:lang w:val="en-US" w:eastAsia="zh-CN"/>
          <w14:textFill>
            <w14:solidFill>
              <w14:schemeClr w14:val="tx1"/>
            </w14:solidFill>
          </w14:textFill>
        </w:rPr>
        <w:t>等</w:t>
      </w: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相关数据由招标单位向相关部门获取后统一提供。</w:t>
      </w:r>
    </w:p>
    <w:p w14:paraId="65B1EEB3">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val="en-US" w:eastAsia="zh-CN"/>
          <w14:textFill>
            <w14:solidFill>
              <w14:schemeClr w14:val="tx1"/>
            </w14:solidFill>
          </w14:textFill>
        </w:rPr>
        <w:t>社保基金存放利率按社保大额存单执行，如无</w:t>
      </w:r>
      <w:r>
        <w:rPr>
          <w:rFonts w:hint="default" w:ascii="宋体" w:hAnsi="宋体" w:eastAsia="宋体" w:cs="宋体"/>
          <w:b/>
          <w:color w:val="000000" w:themeColor="text1"/>
          <w:szCs w:val="21"/>
          <w:highlight w:val="none"/>
          <w:lang w:val="en-US" w:eastAsia="zh-CN"/>
          <w14:textFill>
            <w14:solidFill>
              <w14:schemeClr w14:val="tx1"/>
            </w14:solidFill>
          </w14:textFill>
        </w:rPr>
        <w:t>社保</w:t>
      </w:r>
      <w:r>
        <w:rPr>
          <w:rFonts w:hint="eastAsia" w:ascii="宋体" w:hAnsi="宋体" w:eastAsia="宋体" w:cs="宋体"/>
          <w:b/>
          <w:color w:val="000000" w:themeColor="text1"/>
          <w:szCs w:val="21"/>
          <w:highlight w:val="none"/>
          <w:lang w:val="en-US" w:eastAsia="zh-CN"/>
          <w14:textFill>
            <w14:solidFill>
              <w14:schemeClr w14:val="tx1"/>
            </w14:solidFill>
          </w14:textFill>
        </w:rPr>
        <w:t>大额存单业务的银行其利率参照</w:t>
      </w:r>
      <w:r>
        <w:rPr>
          <w:rFonts w:hint="default" w:ascii="宋体" w:hAnsi="宋体" w:eastAsia="宋体" w:cs="宋体"/>
          <w:b/>
          <w:color w:val="000000" w:themeColor="text1"/>
          <w:szCs w:val="21"/>
          <w:highlight w:val="none"/>
          <w:lang w:val="en-US" w:eastAsia="zh-CN"/>
          <w14:textFill>
            <w14:solidFill>
              <w14:schemeClr w14:val="tx1"/>
            </w14:solidFill>
          </w14:textFill>
        </w:rPr>
        <w:t>社保</w:t>
      </w:r>
      <w:r>
        <w:rPr>
          <w:rFonts w:hint="eastAsia" w:ascii="宋体" w:hAnsi="宋体" w:eastAsia="宋体" w:cs="宋体"/>
          <w:b/>
          <w:color w:val="000000" w:themeColor="text1"/>
          <w:szCs w:val="21"/>
          <w:highlight w:val="none"/>
          <w:lang w:val="en-US" w:eastAsia="zh-CN"/>
          <w14:textFill>
            <w14:solidFill>
              <w14:schemeClr w14:val="tx1"/>
            </w14:solidFill>
          </w14:textFill>
        </w:rPr>
        <w:t>大额存单利率执行。</w:t>
      </w:r>
    </w:p>
    <w:p w14:paraId="04AF0066">
      <w:pPr>
        <w:keepNext w:val="0"/>
        <w:keepLines w:val="0"/>
        <w:pageBreakBefore w:val="0"/>
        <w:widowControl w:val="0"/>
        <w:numPr>
          <w:ilvl w:val="0"/>
          <w:numId w:val="0"/>
        </w:numPr>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cs="宋体"/>
          <w:b/>
          <w:color w:val="000000" w:themeColor="text1"/>
          <w:szCs w:val="21"/>
          <w:highlight w:val="none"/>
          <w:lang w:val="en-US" w:eastAsia="zh-CN"/>
          <w14:textFill>
            <w14:solidFill>
              <w14:schemeClr w14:val="tx1"/>
            </w14:solidFill>
          </w14:textFill>
        </w:rPr>
        <w:t>3.定期存款利率报价高于浙江省市场利率定价自律机制规定的利率浮动幅度上限的，按无效标处理。</w:t>
      </w:r>
    </w:p>
    <w:p w14:paraId="29A86DE5">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eastAsia="zh-CN"/>
          <w14:textFill>
            <w14:solidFill>
              <w14:schemeClr w14:val="tx1"/>
            </w14:solidFill>
          </w14:textFill>
        </w:rPr>
        <w:t>五</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b/>
          <w:color w:val="000000" w:themeColor="text1"/>
          <w:szCs w:val="21"/>
          <w:highlight w:val="none"/>
          <w:lang w:eastAsia="zh-CN"/>
          <w14:textFill>
            <w14:solidFill>
              <w14:schemeClr w14:val="tx1"/>
            </w14:solidFill>
          </w14:textFill>
        </w:rPr>
        <w:t>定标</w:t>
      </w:r>
      <w:r>
        <w:rPr>
          <w:rFonts w:hint="eastAsia" w:ascii="宋体" w:hAnsi="宋体" w:eastAsia="宋体" w:cs="宋体"/>
          <w:b/>
          <w:color w:val="000000" w:themeColor="text1"/>
          <w:szCs w:val="21"/>
          <w:highlight w:val="none"/>
          <w14:textFill>
            <w14:solidFill>
              <w14:schemeClr w14:val="tx1"/>
            </w14:solidFill>
          </w14:textFill>
        </w:rPr>
        <w:t>原则</w:t>
      </w:r>
    </w:p>
    <w:p w14:paraId="58540EEA">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0" w:rightChars="0" w:firstLine="420" w:firstLineChars="200"/>
        <w:jc w:val="both"/>
        <w:textAlignment w:val="auto"/>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本次</w:t>
      </w:r>
      <w:r>
        <w:rPr>
          <w:rFonts w:hint="eastAsia" w:ascii="宋体" w:hAnsi="宋体" w:eastAsia="宋体" w:cs="宋体"/>
          <w:color w:val="000000" w:themeColor="text1"/>
          <w:szCs w:val="21"/>
          <w:highlight w:val="none"/>
          <w:lang w:eastAsia="zh-CN"/>
          <w14:textFill>
            <w14:solidFill>
              <w14:schemeClr w14:val="tx1"/>
            </w14:solidFill>
          </w14:textFill>
        </w:rPr>
        <w:t>招标</w:t>
      </w:r>
      <w:r>
        <w:rPr>
          <w:rFonts w:hint="eastAsia" w:ascii="宋体" w:hAnsi="宋体" w:eastAsia="宋体" w:cs="宋体"/>
          <w:color w:val="000000" w:themeColor="text1"/>
          <w:szCs w:val="21"/>
          <w:highlight w:val="none"/>
          <w14:textFill>
            <w14:solidFill>
              <w14:schemeClr w14:val="tx1"/>
            </w14:solidFill>
          </w14:textFill>
        </w:rPr>
        <w:t>根据评标委员会评分结果，按综合得分由高到低列明</w:t>
      </w:r>
      <w:r>
        <w:rPr>
          <w:rFonts w:hint="eastAsia" w:ascii="宋体" w:hAnsi="宋体" w:eastAsia="宋体" w:cs="宋体"/>
          <w:color w:val="000000" w:themeColor="text1"/>
          <w:szCs w:val="21"/>
          <w:highlight w:val="none"/>
          <w:lang w:eastAsia="zh-CN"/>
          <w14:textFill>
            <w14:solidFill>
              <w14:schemeClr w14:val="tx1"/>
            </w14:solidFill>
          </w14:textFill>
        </w:rPr>
        <w:t>投标人</w:t>
      </w:r>
      <w:r>
        <w:rPr>
          <w:rFonts w:hint="eastAsia" w:ascii="宋体" w:hAnsi="宋体" w:eastAsia="宋体" w:cs="宋体"/>
          <w:color w:val="000000" w:themeColor="text1"/>
          <w:szCs w:val="21"/>
          <w:highlight w:val="none"/>
          <w14:textFill>
            <w14:solidFill>
              <w14:schemeClr w14:val="tx1"/>
            </w14:solidFill>
          </w14:textFill>
        </w:rPr>
        <w:t>排名情况</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得分排名前</w:t>
      </w:r>
      <w:r>
        <w:rPr>
          <w:rFonts w:hint="eastAsia" w:ascii="宋体" w:hAnsi="宋体" w:cs="宋体"/>
          <w:color w:val="000000" w:themeColor="text1"/>
          <w:kern w:val="0"/>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Cs w:val="21"/>
          <w:highlight w:val="none"/>
          <w14:textFill>
            <w14:solidFill>
              <w14:schemeClr w14:val="tx1"/>
            </w14:solidFill>
          </w14:textFill>
        </w:rPr>
        <w:t>名的投标人为中标</w:t>
      </w:r>
      <w:r>
        <w:rPr>
          <w:rFonts w:hint="eastAsia" w:ascii="宋体" w:hAnsi="宋体" w:eastAsia="宋体" w:cs="宋体"/>
          <w:bCs/>
          <w:color w:val="000000" w:themeColor="text1"/>
          <w:kern w:val="0"/>
          <w:szCs w:val="21"/>
          <w:highlight w:val="none"/>
          <w:lang w:val="en-US" w:eastAsia="zh-CN"/>
          <w14:textFill>
            <w14:solidFill>
              <w14:schemeClr w14:val="tx1"/>
            </w14:solidFill>
          </w14:textFill>
        </w:rPr>
        <w:t>候选人</w:t>
      </w:r>
      <w:r>
        <w:rPr>
          <w:rFonts w:hint="eastAsia" w:ascii="宋体" w:hAnsi="宋体" w:cs="宋体"/>
          <w:color w:val="000000" w:themeColor="text1"/>
          <w:szCs w:val="21"/>
          <w:highlight w:val="none"/>
          <w:lang w:eastAsia="zh-CN"/>
          <w14:textFill>
            <w14:solidFill>
              <w14:schemeClr w14:val="tx1"/>
            </w14:solidFill>
          </w14:textFill>
        </w:rPr>
        <w:t>，且</w:t>
      </w:r>
      <w:r>
        <w:rPr>
          <w:rFonts w:hint="eastAsia" w:ascii="宋体" w:hAnsi="宋体" w:eastAsia="宋体" w:cs="宋体"/>
          <w:color w:val="000000" w:themeColor="text1"/>
          <w:kern w:val="0"/>
          <w:szCs w:val="21"/>
          <w:highlight w:val="none"/>
          <w14:textFill>
            <w14:solidFill>
              <w14:schemeClr w14:val="tx1"/>
            </w14:solidFill>
          </w14:textFill>
        </w:rPr>
        <w:t>综合指标高者优先选择中标标的，根据中标先后顺序，各银行依次挑选中标标的。</w:t>
      </w:r>
    </w:p>
    <w:p w14:paraId="71F818FD">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right="0" w:rightChars="0" w:firstLine="420"/>
        <w:jc w:val="both"/>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如竞标银行</w:t>
      </w:r>
      <w:r>
        <w:rPr>
          <w:rFonts w:hint="eastAsia" w:ascii="宋体" w:hAnsi="宋体" w:eastAsia="宋体" w:cs="宋体"/>
          <w:color w:val="000000" w:themeColor="text1"/>
          <w:szCs w:val="21"/>
          <w:highlight w:val="none"/>
          <w:lang w:eastAsia="zh-CN"/>
          <w14:textFill>
            <w14:solidFill>
              <w14:schemeClr w14:val="tx1"/>
            </w14:solidFill>
          </w14:textFill>
        </w:rPr>
        <w:t>综合</w:t>
      </w:r>
      <w:r>
        <w:rPr>
          <w:rFonts w:hint="eastAsia" w:ascii="宋体" w:hAnsi="宋体" w:eastAsia="宋体" w:cs="宋体"/>
          <w:color w:val="000000" w:themeColor="text1"/>
          <w:szCs w:val="21"/>
          <w:highlight w:val="none"/>
          <w14:textFill>
            <w14:solidFill>
              <w14:schemeClr w14:val="tx1"/>
            </w14:solidFill>
          </w14:textFill>
        </w:rPr>
        <w:t>得分相同时，依次按竞标银行利率水平得分、经济贡献度指标得分、经营状况指标得分指标得分的高低确定名次。</w:t>
      </w:r>
      <w:r>
        <w:rPr>
          <w:rFonts w:hint="eastAsia" w:ascii="宋体" w:hAnsi="宋体" w:eastAsia="宋体" w:cs="宋体"/>
          <w:color w:val="000000" w:themeColor="text1"/>
          <w:szCs w:val="21"/>
          <w:highlight w:val="none"/>
          <w:lang w:val="en-US" w:eastAsia="zh-CN"/>
          <w14:textFill>
            <w14:solidFill>
              <w14:schemeClr w14:val="tx1"/>
            </w14:solidFill>
          </w14:textFill>
        </w:rPr>
        <w:t>如各项指标分值均相同时，按评委无记名投票表决，以少数服从多数的原则决定，并以书面形式记录在案。</w:t>
      </w:r>
    </w:p>
    <w:p w14:paraId="0F0AF94F">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lang w:eastAsia="zh-CN"/>
          <w14:textFill>
            <w14:solidFill>
              <w14:schemeClr w14:val="tx1"/>
            </w14:solidFill>
          </w14:textFill>
        </w:rPr>
        <w:t>招标</w:t>
      </w:r>
      <w:r>
        <w:rPr>
          <w:rFonts w:hint="eastAsia" w:ascii="宋体" w:hAnsi="宋体" w:eastAsia="宋体" w:cs="宋体"/>
          <w:color w:val="000000" w:themeColor="text1"/>
          <w:szCs w:val="21"/>
          <w:highlight w:val="none"/>
          <w14:textFill>
            <w14:solidFill>
              <w14:schemeClr w14:val="tx1"/>
            </w14:solidFill>
          </w14:textFill>
        </w:rPr>
        <w:t>代理机构在评标结束后2个工作日内将评标报告送</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应当自收到评标报告之日起5个工作日内，按评标报告推荐的中标候选人名单确定中标单位。</w:t>
      </w:r>
    </w:p>
    <w:p w14:paraId="60C96445">
      <w:pPr>
        <w:pStyle w:val="14"/>
        <w:spacing w:line="700" w:lineRule="exact"/>
        <w:outlineLvl w:val="0"/>
        <w:rPr>
          <w:rFonts w:hint="eastAsia" w:ascii="宋体" w:hAnsi="宋体" w:eastAsia="宋体" w:cs="宋体"/>
          <w:color w:val="000000" w:themeColor="text1"/>
          <w:sz w:val="30"/>
          <w:szCs w:val="32"/>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bookmarkStart w:id="96" w:name="_Toc27253"/>
      <w:bookmarkStart w:id="97" w:name="_Toc12421"/>
      <w:bookmarkStart w:id="98" w:name="_Toc24300"/>
      <w:bookmarkStart w:id="99" w:name="_Toc29418"/>
      <w:bookmarkStart w:id="100" w:name="_Toc383"/>
      <w:bookmarkStart w:id="101" w:name="_Toc3937"/>
      <w:bookmarkStart w:id="102" w:name="_Toc32463_WPSOffice_Level1"/>
      <w:bookmarkStart w:id="103" w:name="_Toc14610"/>
      <w:r>
        <w:rPr>
          <w:rFonts w:hint="eastAsia" w:ascii="宋体" w:hAnsi="宋体" w:eastAsia="宋体" w:cs="宋体"/>
          <w:color w:val="000000" w:themeColor="text1"/>
          <w:sz w:val="30"/>
          <w:szCs w:val="32"/>
          <w:highlight w:val="none"/>
          <w:lang w:val="zh-CN" w:eastAsia="zh-CN"/>
          <w14:textFill>
            <w14:solidFill>
              <w14:schemeClr w14:val="tx1"/>
            </w14:solidFill>
          </w14:textFill>
        </w:rPr>
        <w:t>第六章  投标文件相关格式</w:t>
      </w:r>
      <w:bookmarkEnd w:id="96"/>
      <w:bookmarkEnd w:id="97"/>
      <w:bookmarkEnd w:id="98"/>
      <w:bookmarkEnd w:id="99"/>
      <w:bookmarkEnd w:id="100"/>
      <w:bookmarkEnd w:id="101"/>
      <w:bookmarkEnd w:id="102"/>
      <w:bookmarkEnd w:id="103"/>
    </w:p>
    <w:p w14:paraId="1D7BDE6B">
      <w:pPr>
        <w:snapToGrid w:val="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附件1</w:t>
      </w:r>
    </w:p>
    <w:p w14:paraId="59DD5BDA">
      <w:pPr>
        <w:pStyle w:val="6"/>
        <w:rPr>
          <w:rFonts w:hint="eastAsia"/>
          <w:color w:val="000000" w:themeColor="text1"/>
          <w:highlight w:val="none"/>
          <w14:textFill>
            <w14:solidFill>
              <w14:schemeClr w14:val="tx1"/>
            </w14:solidFill>
          </w14:textFill>
        </w:rPr>
      </w:pPr>
    </w:p>
    <w:p w14:paraId="1E71909F">
      <w:pPr>
        <w:keepNext w:val="0"/>
        <w:keepLines w:val="0"/>
        <w:pageBreakBefore w:val="0"/>
        <w:kinsoku/>
        <w:wordWrap/>
        <w:overflowPunct/>
        <w:topLinePunct w:val="0"/>
        <w:autoSpaceDE/>
        <w:autoSpaceDN/>
        <w:bidi w:val="0"/>
        <w:adjustRightInd/>
        <w:snapToGrid/>
        <w:spacing w:beforeAutospacing="0" w:afterAutospacing="0" w:line="360" w:lineRule="auto"/>
        <w:ind w:left="0" w:leftChars="0" w:right="0" w:rightChars="0" w:firstLine="560" w:firstLineChars="200"/>
        <w:jc w:val="center"/>
        <w:textAlignment w:val="auto"/>
        <w:outlineLvl w:val="9"/>
        <w:rPr>
          <w:rFonts w:hint="eastAsia" w:ascii="宋体" w:hAnsi="宋体" w:eastAsia="宋体" w:cs="宋体"/>
          <w:b/>
          <w:bCs/>
          <w:color w:val="000000" w:themeColor="text1"/>
          <w:sz w:val="28"/>
          <w:szCs w:val="28"/>
          <w:highlight w:val="none"/>
          <w:lang w:eastAsia="zh-CN"/>
          <w14:textFill>
            <w14:solidFill>
              <w14:schemeClr w14:val="tx1"/>
            </w14:solidFill>
          </w14:textFill>
        </w:rPr>
      </w:pPr>
      <w:bookmarkStart w:id="104" w:name="_Toc433882649"/>
      <w:bookmarkStart w:id="105" w:name="_Toc435706547"/>
      <w:bookmarkStart w:id="106" w:name="_Toc437331307"/>
      <w:bookmarkStart w:id="107" w:name="_Toc424199678"/>
      <w:bookmarkStart w:id="108" w:name="_Toc437504032"/>
      <w:bookmarkStart w:id="109" w:name="_Toc437331618"/>
      <w:bookmarkStart w:id="110" w:name="_Toc437509329"/>
      <w:r>
        <w:rPr>
          <w:rFonts w:hint="eastAsia" w:ascii="宋体" w:hAnsi="宋体" w:eastAsia="宋体" w:cs="宋体"/>
          <w:b/>
          <w:bCs/>
          <w:color w:val="000000" w:themeColor="text1"/>
          <w:sz w:val="28"/>
          <w:szCs w:val="28"/>
          <w:highlight w:val="none"/>
          <w:lang w:eastAsia="zh-CN"/>
          <w14:textFill>
            <w14:solidFill>
              <w14:schemeClr w14:val="tx1"/>
            </w14:solidFill>
          </w14:textFill>
        </w:rPr>
        <w:t>投标声明书</w:t>
      </w:r>
      <w:bookmarkEnd w:id="104"/>
      <w:bookmarkEnd w:id="105"/>
      <w:bookmarkEnd w:id="106"/>
      <w:bookmarkEnd w:id="107"/>
      <w:bookmarkEnd w:id="108"/>
      <w:bookmarkEnd w:id="109"/>
      <w:bookmarkEnd w:id="110"/>
    </w:p>
    <w:p w14:paraId="578B2960">
      <w:pPr>
        <w:widowControl/>
        <w:jc w:val="center"/>
        <w:outlineLvl w:val="9"/>
        <w:rPr>
          <w:rFonts w:hint="eastAsia" w:ascii="仿宋" w:hAnsi="仿宋" w:eastAsia="仿宋" w:cs="宋体"/>
          <w:b/>
          <w:color w:val="000000" w:themeColor="text1"/>
          <w:kern w:val="0"/>
          <w:sz w:val="30"/>
          <w:szCs w:val="30"/>
          <w:highlight w:val="none"/>
          <w14:textFill>
            <w14:solidFill>
              <w14:schemeClr w14:val="tx1"/>
            </w14:solidFill>
          </w14:textFill>
        </w:rPr>
      </w:pPr>
    </w:p>
    <w:p w14:paraId="604F529A">
      <w:pPr>
        <w:pStyle w:val="8"/>
        <w:spacing w:line="520" w:lineRule="exac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致常山县财政局：</w:t>
      </w:r>
    </w:p>
    <w:p w14:paraId="49439503">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val="single"/>
          <w14:textFill>
            <w14:solidFill>
              <w14:schemeClr w14:val="tx1"/>
            </w14:solidFill>
          </w14:textFill>
        </w:rPr>
        <w:t>投标人名称）</w:t>
      </w:r>
      <w:r>
        <w:rPr>
          <w:rFonts w:hint="eastAsia" w:ascii="宋体" w:hAnsi="宋体" w:eastAsia="宋体" w:cs="宋体"/>
          <w:color w:val="000000" w:themeColor="text1"/>
          <w:kern w:val="0"/>
          <w:sz w:val="21"/>
          <w:szCs w:val="21"/>
          <w:highlight w:val="none"/>
          <w14:textFill>
            <w14:solidFill>
              <w14:schemeClr w14:val="tx1"/>
            </w14:solidFill>
          </w14:textFill>
        </w:rPr>
        <w:t>系中华人民共和国合法企业，经营地址</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。我 </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（姓名）</w:t>
      </w:r>
      <w:r>
        <w:rPr>
          <w:rFonts w:hint="eastAsia" w:ascii="宋体" w:hAnsi="宋体" w:eastAsia="宋体" w:cs="宋体"/>
          <w:color w:val="000000" w:themeColor="text1"/>
          <w:kern w:val="0"/>
          <w:sz w:val="21"/>
          <w:szCs w:val="21"/>
          <w:highlight w:val="none"/>
          <w14:textFill>
            <w14:solidFill>
              <w14:schemeClr w14:val="tx1"/>
            </w14:solidFill>
          </w14:textFill>
        </w:rPr>
        <w:t>系</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（投标人名称）</w:t>
      </w:r>
      <w:r>
        <w:rPr>
          <w:rFonts w:hint="eastAsia" w:ascii="宋体" w:hAnsi="宋体" w:eastAsia="宋体" w:cs="宋体"/>
          <w:color w:val="000000" w:themeColor="text1"/>
          <w:kern w:val="0"/>
          <w:sz w:val="21"/>
          <w:szCs w:val="21"/>
          <w:highlight w:val="none"/>
          <w14:textFill>
            <w14:solidFill>
              <w14:schemeClr w14:val="tx1"/>
            </w14:solidFill>
          </w14:textFill>
        </w:rPr>
        <w:t>的单位负责人，我方愿意参加贵方组织的</w:t>
      </w:r>
      <w:r>
        <w:rPr>
          <w:rFonts w:hint="eastAsia" w:hAnsi="宋体" w:cs="宋体"/>
          <w:b/>
          <w:color w:val="000000" w:themeColor="text1"/>
          <w:kern w:val="0"/>
          <w:sz w:val="21"/>
          <w:szCs w:val="21"/>
          <w:highlight w:val="none"/>
          <w:u w:val="single"/>
          <w:lang w:eastAsia="zh-CN"/>
          <w14:textFill>
            <w14:solidFill>
              <w14:schemeClr w14:val="tx1"/>
            </w14:solidFill>
          </w14:textFill>
        </w:rPr>
        <w:t>常山县财政局2025年度第二期财政资金竞争性存放项目</w:t>
      </w:r>
      <w:r>
        <w:rPr>
          <w:rFonts w:hint="eastAsia" w:ascii="宋体" w:hAnsi="宋体" w:eastAsia="宋体" w:cs="宋体"/>
          <w:color w:val="000000" w:themeColor="text1"/>
          <w:kern w:val="0"/>
          <w:sz w:val="21"/>
          <w:szCs w:val="21"/>
          <w:highlight w:val="none"/>
          <w14:textFill>
            <w14:solidFill>
              <w14:schemeClr w14:val="tx1"/>
            </w14:solidFill>
          </w14:textFill>
        </w:rPr>
        <w:t>的投标，为此，我方就本次投标有关事项郑重声明如下：</w:t>
      </w:r>
    </w:p>
    <w:p w14:paraId="1316568C">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1、我方已详细审查全部招标文件，同意招标文件的各项要求。</w:t>
      </w:r>
    </w:p>
    <w:p w14:paraId="7A5A3408">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2、我方向贵方提交的所有投标文件、资料都是准确的和真实的。</w:t>
      </w:r>
    </w:p>
    <w:p w14:paraId="011870FC">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3、我们已详细审核全部招标文件、参考资料及有关附件，我们知道必须放弃提出含糊不清或误解问题的权利。</w:t>
      </w:r>
    </w:p>
    <w:p w14:paraId="1BD08911">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4、若中标，我方将按招标文件规定履行合同责任和义务。</w:t>
      </w:r>
    </w:p>
    <w:p w14:paraId="25D63FAA">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5、我方不是采购单位的附属机构；在获知本项目采购信息后，与采购单位聘请的为此项目提供咨询服务的公司及其附属机构没有任何联系。</w:t>
      </w:r>
    </w:p>
    <w:p w14:paraId="7544B768">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6、投标文件自开标日起有效期为90日。</w:t>
      </w:r>
    </w:p>
    <w:p w14:paraId="3CFF217C">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 以上事项如有虚假或隐瞒，我方愿意承担一切后果，并不再寻求任何旨在减轻或免除法律责任的辩解。</w:t>
      </w:r>
    </w:p>
    <w:p w14:paraId="3A19D816">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p>
    <w:p w14:paraId="710DF5A4">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单位名称（盖章）：</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6D24323C">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单位负责人或授权委托人（签字）：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p>
    <w:p w14:paraId="75212D66">
      <w:pPr>
        <w:pStyle w:val="8"/>
        <w:spacing w:line="400" w:lineRule="exact"/>
        <w:ind w:firstLine="420" w:firstLineChars="200"/>
        <w:outlineLvl w:val="9"/>
        <w:rPr>
          <w:rFonts w:hint="eastAsia" w:ascii="宋体" w:hAnsi="宋体" w:eastAsia="宋体" w:cs="宋体"/>
          <w:color w:val="000000" w:themeColor="text1"/>
          <w:kern w:val="0"/>
          <w:sz w:val="21"/>
          <w:szCs w:val="21"/>
          <w:highlight w:val="none"/>
          <w:u w:val="singl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日 期：</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1E51DA14">
      <w:pPr>
        <w:pStyle w:val="8"/>
        <w:spacing w:line="400" w:lineRule="exact"/>
        <w:ind w:firstLine="420" w:firstLineChars="200"/>
        <w:outlineLvl w:val="9"/>
        <w:rPr>
          <w:rFonts w:hint="eastAsia" w:ascii="仿宋" w:hAnsi="仿宋" w:eastAsia="仿宋" w:cs="宋体"/>
          <w:color w:val="000000" w:themeColor="text1"/>
          <w:kern w:val="0"/>
          <w:sz w:val="21"/>
          <w:szCs w:val="21"/>
          <w:highlight w:val="none"/>
          <w14:textFill>
            <w14:solidFill>
              <w14:schemeClr w14:val="tx1"/>
            </w14:solidFill>
          </w14:textFill>
        </w:rPr>
      </w:pPr>
    </w:p>
    <w:p w14:paraId="67A8D4DA">
      <w:pPr>
        <w:widowControl/>
        <w:spacing w:line="400" w:lineRule="exact"/>
        <w:ind w:firstLine="420" w:firstLineChars="200"/>
        <w:outlineLvl w:val="9"/>
        <w:rPr>
          <w:rFonts w:hint="eastAsia" w:ascii="仿宋" w:hAnsi="仿宋" w:eastAsia="仿宋" w:cs="宋体"/>
          <w:b/>
          <w:color w:val="000000" w:themeColor="text1"/>
          <w:kern w:val="0"/>
          <w:sz w:val="21"/>
          <w:szCs w:val="21"/>
          <w:highlight w:val="none"/>
          <w14:textFill>
            <w14:solidFill>
              <w14:schemeClr w14:val="tx1"/>
            </w14:solidFill>
          </w14:textFill>
        </w:rPr>
      </w:pPr>
    </w:p>
    <w:p w14:paraId="5C419612">
      <w:pPr>
        <w:widowControl/>
        <w:spacing w:line="540" w:lineRule="exact"/>
        <w:jc w:val="center"/>
        <w:outlineLvl w:val="9"/>
        <w:rPr>
          <w:rFonts w:hint="eastAsia" w:ascii="仿宋" w:hAnsi="仿宋" w:eastAsia="仿宋" w:cs="宋体"/>
          <w:b/>
          <w:color w:val="000000" w:themeColor="text1"/>
          <w:kern w:val="0"/>
          <w:sz w:val="21"/>
          <w:szCs w:val="21"/>
          <w:highlight w:val="none"/>
          <w14:textFill>
            <w14:solidFill>
              <w14:schemeClr w14:val="tx1"/>
            </w14:solidFill>
          </w14:textFill>
        </w:rPr>
      </w:pPr>
    </w:p>
    <w:p w14:paraId="62DFF49D">
      <w:pPr>
        <w:spacing w:line="500" w:lineRule="exact"/>
        <w:jc w:val="center"/>
        <w:rPr>
          <w:rFonts w:hint="eastAsia" w:ascii="宋体" w:hAnsi="宋体" w:eastAsia="宋体" w:cs="宋体"/>
          <w:b/>
          <w:bCs/>
          <w:color w:val="000000" w:themeColor="text1"/>
          <w:kern w:val="0"/>
          <w:sz w:val="30"/>
          <w:szCs w:val="30"/>
          <w:highlight w:val="none"/>
          <w14:textFill>
            <w14:solidFill>
              <w14:schemeClr w14:val="tx1"/>
            </w14:solidFill>
          </w14:textFill>
        </w:rPr>
      </w:pPr>
    </w:p>
    <w:p w14:paraId="14DDA149">
      <w:pPr>
        <w:snapToGrid w:val="0"/>
        <w:spacing w:line="500" w:lineRule="exact"/>
        <w:jc w:val="both"/>
        <w:outlineLvl w:val="0"/>
        <w:rPr>
          <w:rStyle w:val="25"/>
          <w:rFonts w:hint="eastAsia" w:ascii="宋体" w:hAnsi="宋体" w:eastAsia="宋体" w:cs="宋体"/>
          <w:color w:val="000000" w:themeColor="text1"/>
          <w:sz w:val="24"/>
          <w:szCs w:val="24"/>
          <w:highlight w:val="none"/>
          <w14:textFill>
            <w14:solidFill>
              <w14:schemeClr w14:val="tx1"/>
            </w14:solidFill>
          </w14:textFill>
        </w:rPr>
      </w:pPr>
    </w:p>
    <w:p w14:paraId="61C7E18B">
      <w:pPr>
        <w:snapToGrid w:val="0"/>
        <w:jc w:val="left"/>
        <w:rPr>
          <w:rFonts w:hint="eastAsia" w:ascii="宋体" w:hAnsi="宋体" w:eastAsia="宋体" w:cs="宋体"/>
          <w:b/>
          <w:color w:val="000000" w:themeColor="text1"/>
          <w:sz w:val="24"/>
          <w:highlight w:val="none"/>
          <w14:textFill>
            <w14:solidFill>
              <w14:schemeClr w14:val="tx1"/>
            </w14:solidFill>
          </w14:textFill>
        </w:rPr>
      </w:pPr>
      <w:bookmarkStart w:id="111" w:name="附件1"/>
    </w:p>
    <w:p w14:paraId="2DA613C6">
      <w:pPr>
        <w:snapToGrid w:val="0"/>
        <w:jc w:val="left"/>
        <w:rPr>
          <w:rFonts w:hint="eastAsia" w:ascii="宋体" w:hAnsi="宋体" w:eastAsia="宋体" w:cs="宋体"/>
          <w:b/>
          <w:color w:val="000000" w:themeColor="text1"/>
          <w:sz w:val="24"/>
          <w:highlight w:val="none"/>
          <w14:textFill>
            <w14:solidFill>
              <w14:schemeClr w14:val="tx1"/>
            </w14:solidFill>
          </w14:textFill>
        </w:rPr>
      </w:pPr>
    </w:p>
    <w:p w14:paraId="0C6829C0">
      <w:pPr>
        <w:snapToGrid w:val="0"/>
        <w:jc w:val="left"/>
        <w:rPr>
          <w:rFonts w:hint="eastAsia" w:ascii="宋体" w:hAnsi="宋体" w:eastAsia="宋体" w:cs="宋体"/>
          <w:b/>
          <w:color w:val="000000" w:themeColor="text1"/>
          <w:sz w:val="24"/>
          <w:highlight w:val="none"/>
          <w14:textFill>
            <w14:solidFill>
              <w14:schemeClr w14:val="tx1"/>
            </w14:solidFill>
          </w14:textFill>
        </w:rPr>
      </w:pPr>
    </w:p>
    <w:p w14:paraId="5718B721">
      <w:pPr>
        <w:snapToGrid w:val="0"/>
        <w:jc w:val="left"/>
        <w:rPr>
          <w:rFonts w:hint="eastAsia" w:ascii="宋体" w:hAnsi="宋体" w:eastAsia="宋体" w:cs="宋体"/>
          <w:b/>
          <w:color w:val="000000" w:themeColor="text1"/>
          <w:sz w:val="24"/>
          <w:highlight w:val="none"/>
          <w14:textFill>
            <w14:solidFill>
              <w14:schemeClr w14:val="tx1"/>
            </w14:solidFill>
          </w14:textFill>
        </w:rPr>
      </w:pPr>
    </w:p>
    <w:p w14:paraId="229133F6">
      <w:pPr>
        <w:snapToGrid w:val="0"/>
        <w:jc w:val="left"/>
        <w:rPr>
          <w:rFonts w:hint="eastAsia" w:ascii="宋体" w:hAnsi="宋体" w:eastAsia="宋体" w:cs="宋体"/>
          <w:b/>
          <w:color w:val="000000" w:themeColor="text1"/>
          <w:sz w:val="24"/>
          <w:highlight w:val="none"/>
          <w14:textFill>
            <w14:solidFill>
              <w14:schemeClr w14:val="tx1"/>
            </w14:solidFill>
          </w14:textFill>
        </w:rPr>
      </w:pPr>
    </w:p>
    <w:p w14:paraId="2989BF1F">
      <w:pPr>
        <w:snapToGrid w:val="0"/>
        <w:jc w:val="left"/>
        <w:rPr>
          <w:rFonts w:hint="eastAsia" w:ascii="宋体" w:hAnsi="宋体" w:eastAsia="宋体" w:cs="宋体"/>
          <w:b/>
          <w:color w:val="000000" w:themeColor="text1"/>
          <w:sz w:val="24"/>
          <w:highlight w:val="none"/>
          <w14:textFill>
            <w14:solidFill>
              <w14:schemeClr w14:val="tx1"/>
            </w14:solidFill>
          </w14:textFill>
        </w:rPr>
      </w:pPr>
    </w:p>
    <w:p w14:paraId="1E4B9365">
      <w:pPr>
        <w:snapToGrid w:val="0"/>
        <w:jc w:val="left"/>
        <w:rPr>
          <w:rFonts w:hint="eastAsia" w:ascii="宋体" w:hAnsi="宋体" w:eastAsia="宋体" w:cs="宋体"/>
          <w:b/>
          <w:color w:val="000000" w:themeColor="text1"/>
          <w:sz w:val="24"/>
          <w:highlight w:val="none"/>
          <w14:textFill>
            <w14:solidFill>
              <w14:schemeClr w14:val="tx1"/>
            </w14:solidFill>
          </w14:textFill>
        </w:rPr>
      </w:pPr>
    </w:p>
    <w:p w14:paraId="37A6C686">
      <w:pPr>
        <w:snapToGrid w:val="0"/>
        <w:jc w:val="left"/>
        <w:rPr>
          <w:rFonts w:hint="eastAsia"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color w:val="000000" w:themeColor="text1"/>
          <w:sz w:val="24"/>
          <w:highlight w:val="none"/>
          <w14:textFill>
            <w14:solidFill>
              <w14:schemeClr w14:val="tx1"/>
            </w14:solidFill>
          </w14:textFill>
        </w:rPr>
        <w:t>附件</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-1</w:t>
      </w:r>
      <w:bookmarkEnd w:id="111"/>
    </w:p>
    <w:p w14:paraId="2628FA95">
      <w:pPr>
        <w:spacing w:line="500" w:lineRule="exact"/>
        <w:jc w:val="center"/>
        <w:rPr>
          <w:rFonts w:hint="eastAsia" w:ascii="宋体" w:hAnsi="宋体" w:eastAsia="宋体" w:cs="宋体"/>
          <w:b/>
          <w:bCs/>
          <w:color w:val="000000" w:themeColor="text1"/>
          <w:kern w:val="0"/>
          <w:sz w:val="30"/>
          <w:szCs w:val="30"/>
          <w:highlight w:val="none"/>
          <w14:textFill>
            <w14:solidFill>
              <w14:schemeClr w14:val="tx1"/>
            </w14:solidFill>
          </w14:textFill>
        </w:rPr>
      </w:pPr>
    </w:p>
    <w:p w14:paraId="42CCE987">
      <w:pPr>
        <w:spacing w:line="500" w:lineRule="exact"/>
        <w:jc w:val="center"/>
        <w:rPr>
          <w:rFonts w:hint="eastAsia" w:ascii="宋体" w:hAnsi="宋体" w:eastAsia="宋体" w:cs="宋体"/>
          <w:b/>
          <w:bCs/>
          <w:color w:val="000000" w:themeColor="text1"/>
          <w:kern w:val="0"/>
          <w:sz w:val="30"/>
          <w:szCs w:val="30"/>
          <w:highlight w:val="none"/>
          <w:lang w:eastAsia="zh-CN"/>
          <w14:textFill>
            <w14:solidFill>
              <w14:schemeClr w14:val="tx1"/>
            </w14:solidFill>
          </w14:textFill>
        </w:rPr>
      </w:pPr>
      <w:r>
        <w:rPr>
          <w:rFonts w:hint="eastAsia" w:ascii="宋体" w:hAnsi="宋体" w:eastAsia="宋体" w:cs="宋体"/>
          <w:b/>
          <w:bCs/>
          <w:color w:val="000000" w:themeColor="text1"/>
          <w:kern w:val="0"/>
          <w:sz w:val="30"/>
          <w:szCs w:val="30"/>
          <w:highlight w:val="none"/>
          <w:lang w:eastAsia="zh-CN"/>
          <w14:textFill>
            <w14:solidFill>
              <w14:schemeClr w14:val="tx1"/>
            </w14:solidFill>
          </w14:textFill>
        </w:rPr>
        <w:t>法定代表人（单位负责人）身份证明</w:t>
      </w:r>
    </w:p>
    <w:p w14:paraId="42592AFC">
      <w:pPr>
        <w:widowControl/>
        <w:spacing w:line="420" w:lineRule="atLeast"/>
        <w:jc w:val="center"/>
        <w:rPr>
          <w:rFonts w:hint="eastAsia" w:ascii="宋体" w:hAnsi="宋体" w:eastAsia="宋体" w:cs="宋体"/>
          <w:b/>
          <w:bCs/>
          <w:color w:val="000000" w:themeColor="text1"/>
          <w:kern w:val="0"/>
          <w:sz w:val="24"/>
          <w:highlight w:val="none"/>
          <w14:textFill>
            <w14:solidFill>
              <w14:schemeClr w14:val="tx1"/>
            </w14:solidFill>
          </w14:textFill>
        </w:rPr>
      </w:pPr>
      <w:r>
        <w:rPr>
          <w:rFonts w:hint="eastAsia" w:ascii="宋体" w:hAnsi="宋体" w:eastAsia="宋体" w:cs="宋体"/>
          <w:b/>
          <w:bCs/>
          <w:color w:val="000000" w:themeColor="text1"/>
          <w:kern w:val="0"/>
          <w:sz w:val="24"/>
          <w:highlight w:val="none"/>
          <w14:textFill>
            <w14:solidFill>
              <w14:schemeClr w14:val="tx1"/>
            </w14:solidFill>
          </w14:textFill>
        </w:rPr>
        <w:t xml:space="preserve"> </w:t>
      </w:r>
    </w:p>
    <w:p w14:paraId="57EEE584">
      <w:pPr>
        <w:widowControl/>
        <w:spacing w:line="420" w:lineRule="atLeast"/>
        <w:ind w:firstLine="480"/>
        <w:jc w:val="left"/>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t xml:space="preserve"> </w:t>
      </w:r>
    </w:p>
    <w:p w14:paraId="58DB4010">
      <w:pPr>
        <w:widowControl/>
        <w:spacing w:line="420" w:lineRule="atLeast"/>
        <w:ind w:firstLine="10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单位名称：</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6052537B">
      <w:pPr>
        <w:widowControl/>
        <w:spacing w:line="420" w:lineRule="atLeast"/>
        <w:ind w:firstLine="1080"/>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单位性质：</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26CE2992">
      <w:pPr>
        <w:widowControl/>
        <w:spacing w:line="420" w:lineRule="atLeast"/>
        <w:ind w:firstLine="1080"/>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地    址：</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548A9612">
      <w:pPr>
        <w:widowControl/>
        <w:spacing w:line="420" w:lineRule="atLeast"/>
        <w:ind w:firstLine="10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成立时间：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77FFE0D7">
      <w:pPr>
        <w:widowControl/>
        <w:spacing w:line="420" w:lineRule="atLeast"/>
        <w:ind w:firstLine="1080"/>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经营期限：</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57C4412E">
      <w:pPr>
        <w:widowControl/>
        <w:spacing w:line="420" w:lineRule="atLeast"/>
        <w:ind w:firstLine="1080"/>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姓    名：</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性    别：</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68D28FB6">
      <w:pPr>
        <w:widowControl/>
        <w:spacing w:line="420" w:lineRule="atLeast"/>
        <w:ind w:firstLine="1080"/>
        <w:rPr>
          <w:rFonts w:hint="eastAsia"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龄：</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职    务：</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p>
    <w:p w14:paraId="079E8A26">
      <w:pPr>
        <w:widowControl/>
        <w:spacing w:line="420" w:lineRule="atLeast"/>
        <w:ind w:firstLine="10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系</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（投标人名称）的</w:t>
      </w:r>
      <w:r>
        <w:rPr>
          <w:rFonts w:hint="eastAsia" w:ascii="宋体" w:hAnsi="宋体" w:eastAsia="宋体" w:cs="宋体"/>
          <w:color w:val="000000" w:themeColor="text1"/>
          <w:kern w:val="0"/>
          <w:szCs w:val="21"/>
          <w:highlight w:val="none"/>
          <w:lang w:eastAsia="zh-CN"/>
          <w14:textFill>
            <w14:solidFill>
              <w14:schemeClr w14:val="tx1"/>
            </w14:solidFill>
          </w14:textFill>
        </w:rPr>
        <w:t>法定代表人（单位负责人）</w:t>
      </w:r>
      <w:r>
        <w:rPr>
          <w:rFonts w:hint="eastAsia" w:ascii="宋体" w:hAnsi="宋体" w:eastAsia="宋体" w:cs="宋体"/>
          <w:color w:val="000000" w:themeColor="text1"/>
          <w:kern w:val="0"/>
          <w:szCs w:val="21"/>
          <w:highlight w:val="none"/>
          <w14:textFill>
            <w14:solidFill>
              <w14:schemeClr w14:val="tx1"/>
            </w14:solidFill>
          </w14:textFill>
        </w:rPr>
        <w:t>。</w:t>
      </w:r>
    </w:p>
    <w:p w14:paraId="5F72E6FC">
      <w:pPr>
        <w:widowControl/>
        <w:spacing w:line="420" w:lineRule="atLeast"/>
        <w:ind w:firstLine="108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特此证明。</w:t>
      </w:r>
    </w:p>
    <w:p w14:paraId="3FE00AF1">
      <w:pPr>
        <w:widowControl/>
        <w:spacing w:line="420" w:lineRule="atLeast"/>
        <w:ind w:firstLine="1080"/>
        <w:rPr>
          <w:rFonts w:hint="eastAsia" w:ascii="宋体" w:hAnsi="宋体" w:eastAsia="宋体" w:cs="宋体"/>
          <w:color w:val="000000" w:themeColor="text1"/>
          <w:kern w:val="0"/>
          <w:szCs w:val="21"/>
          <w:highlight w:val="none"/>
          <w14:textFill>
            <w14:solidFill>
              <w14:schemeClr w14:val="tx1"/>
            </w14:solidFill>
          </w14:textFill>
        </w:rPr>
      </w:pPr>
    </w:p>
    <w:p w14:paraId="4ABA45ED">
      <w:pPr>
        <w:widowControl/>
        <w:spacing w:line="420" w:lineRule="atLeast"/>
        <w:ind w:firstLine="1080"/>
        <w:rPr>
          <w:rFonts w:hint="eastAsia" w:ascii="宋体" w:hAnsi="宋体" w:eastAsia="宋体" w:cs="宋体"/>
          <w:color w:val="000000" w:themeColor="text1"/>
          <w:kern w:val="0"/>
          <w:szCs w:val="21"/>
          <w:highlight w:val="none"/>
          <w14:textFill>
            <w14:solidFill>
              <w14:schemeClr w14:val="tx1"/>
            </w14:solidFill>
          </w14:textFill>
        </w:rPr>
      </w:pPr>
    </w:p>
    <w:p w14:paraId="4796B87C">
      <w:pPr>
        <w:spacing w:line="500" w:lineRule="exact"/>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投标人名称：</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（盖章）</w:t>
      </w:r>
    </w:p>
    <w:p w14:paraId="50B7D63B">
      <w:pPr>
        <w:spacing w:line="500" w:lineRule="exact"/>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日 </w:t>
      </w:r>
    </w:p>
    <w:p w14:paraId="7E2DF039">
      <w:pPr>
        <w:widowControl/>
        <w:spacing w:line="42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p w14:paraId="541B9AED">
      <w:pPr>
        <w:spacing w:line="360" w:lineRule="auto"/>
        <w:jc w:val="left"/>
        <w:rPr>
          <w:rFonts w:ascii="宋体" w:cs="宋体"/>
          <w:b/>
          <w:bCs/>
          <w:color w:val="000000" w:themeColor="text1"/>
          <w:szCs w:val="21"/>
          <w:highlight w:val="none"/>
          <w14:textFill>
            <w14:solidFill>
              <w14:schemeClr w14:val="tx1"/>
            </w14:solidFill>
          </w14:textFill>
        </w:rPr>
      </w:pPr>
      <w:r>
        <w:rPr>
          <w:color w:val="000000" w:themeColor="text1"/>
          <w:sz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173990</wp:posOffset>
                </wp:positionH>
                <wp:positionV relativeFrom="paragraph">
                  <wp:posOffset>274320</wp:posOffset>
                </wp:positionV>
                <wp:extent cx="2734310" cy="2634615"/>
                <wp:effectExtent l="4445" t="4445" r="23495" b="8890"/>
                <wp:wrapNone/>
                <wp:docPr id="1026" name="矩形 15"/>
                <wp:cNvGraphicFramePr/>
                <a:graphic xmlns:a="http://schemas.openxmlformats.org/drawingml/2006/main">
                  <a:graphicData uri="http://schemas.microsoft.com/office/word/2010/wordprocessingShape">
                    <wps:wsp>
                      <wps:cNvSpPr/>
                      <wps:spPr>
                        <a:xfrm>
                          <a:off x="0" y="0"/>
                          <a:ext cx="2734310" cy="2634615"/>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3A31C684"/>
                        </w:txbxContent>
                      </wps:txbx>
                      <wps:bodyPr vert="horz" wrap="square" lIns="91440" tIns="45720" rIns="91440" bIns="45720" anchor="ctr">
                        <a:noAutofit/>
                      </wps:bodyPr>
                    </wps:wsp>
                  </a:graphicData>
                </a:graphic>
              </wp:anchor>
            </w:drawing>
          </mc:Choice>
          <mc:Fallback>
            <w:pict>
              <v:rect id="矩形 15" o:spid="_x0000_s1026" o:spt="1" style="position:absolute;left:0pt;margin-left:13.7pt;margin-top:21.6pt;height:207.45pt;width:215.3pt;z-index:251659264;v-text-anchor:middle;mso-width-relative:page;mso-height-relative:page;" fillcolor="#FFFFFF" filled="t" stroked="t" coordsize="21600,21600" o:gfxdata="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RQGEfZAAAACQEAAA8AAAAAAAAAAQAgAAAAIgAAAGRycy9k&#10;b3ducmV2LnhtbFBLAQIUABQAAAAIAIdO4kAJgBkQOgIAAJcEAAAOAAAAAAAAAAEAIAAAACgBAABk&#10;cnMvZTJvRG9jLnhtbFBLBQYAAAAABgAGAFkBAADUBQAAAAA=&#10;">
                <v:fill on="t" focussize="0,0"/>
                <v:stroke weight="0.25pt" color="#000000" joinstyle="round"/>
                <v:imagedata o:title=""/>
                <o:lock v:ext="edit" aspectratio="f"/>
                <v:textbox>
                  <w:txbxContent>
                    <w:p w14:paraId="3A31C684"/>
                  </w:txbxContent>
                </v:textbox>
              </v:rect>
            </w:pict>
          </mc:Fallback>
        </mc:AlternateContent>
      </w:r>
      <w:r>
        <w:rPr>
          <w:color w:val="000000" w:themeColor="text1"/>
          <w:sz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3164840</wp:posOffset>
                </wp:positionH>
                <wp:positionV relativeFrom="paragraph">
                  <wp:posOffset>262890</wp:posOffset>
                </wp:positionV>
                <wp:extent cx="2749550" cy="2658110"/>
                <wp:effectExtent l="4445" t="4445" r="8255" b="23495"/>
                <wp:wrapNone/>
                <wp:docPr id="1027" name="矩形 16"/>
                <wp:cNvGraphicFramePr/>
                <a:graphic xmlns:a="http://schemas.openxmlformats.org/drawingml/2006/main">
                  <a:graphicData uri="http://schemas.microsoft.com/office/word/2010/wordprocessingShape">
                    <wps:wsp>
                      <wps:cNvSpPr/>
                      <wps:spPr>
                        <a:xfrm>
                          <a:off x="0" y="0"/>
                          <a:ext cx="2749550" cy="2658110"/>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44606743"/>
                        </w:txbxContent>
                      </wps:txbx>
                      <wps:bodyPr vert="horz" wrap="square" lIns="91440" tIns="45720" rIns="91440" bIns="45720" anchor="ctr">
                        <a:noAutofit/>
                      </wps:bodyPr>
                    </wps:wsp>
                  </a:graphicData>
                </a:graphic>
              </wp:anchor>
            </w:drawing>
          </mc:Choice>
          <mc:Fallback>
            <w:pict>
              <v:rect id="矩形 16" o:spid="_x0000_s1026" o:spt="1" style="position:absolute;left:0pt;margin-left:249.2pt;margin-top:20.7pt;height:209.3pt;width:216.5pt;z-index:251659264;v-text-anchor:middle;mso-width-relative:page;mso-height-relative:page;" fillcolor="#FFFFFF" filled="t" stroked="t" coordsize="21600,21600" o:gfxdata="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EkRoe2QAAAAoBAAAPAAAAAAAAAAEAIAAAACIAAABkcnMv&#10;ZG93bnJldi54bWxQSwECFAAUAAAACACHTuJAEs5pTDsCAACXBAAADgAAAAAAAAABACAAAAAoAQAA&#10;ZHJzL2Uyb0RvYy54bWxQSwUGAAAAAAYABgBZAQAA1QUAAAAA&#10;">
                <v:fill on="t" focussize="0,0"/>
                <v:stroke weight="0.25pt" color="#000000" joinstyle="round"/>
                <v:imagedata o:title=""/>
                <o:lock v:ext="edit" aspectratio="f"/>
                <v:textbox>
                  <w:txbxContent>
                    <w:p w14:paraId="44606743"/>
                  </w:txbxContent>
                </v:textbox>
              </v:rect>
            </w:pict>
          </mc:Fallback>
        </mc:AlternateContent>
      </w:r>
      <w:r>
        <w:rPr>
          <w:rFonts w:hint="eastAsia" w:ascii="宋体" w:hAnsi="宋体" w:cs="宋体"/>
          <w:b/>
          <w:bCs/>
          <w:color w:val="000000" w:themeColor="text1"/>
          <w:szCs w:val="21"/>
          <w:highlight w:val="none"/>
          <w14:textFill>
            <w14:solidFill>
              <w14:schemeClr w14:val="tx1"/>
            </w14:solidFill>
          </w14:textFill>
        </w:rPr>
        <w:t>附</w:t>
      </w:r>
      <w:r>
        <w:rPr>
          <w:rFonts w:hint="eastAsia" w:ascii="宋体" w:hAnsi="宋体" w:cs="宋体"/>
          <w:b/>
          <w:color w:val="000000" w:themeColor="text1"/>
          <w:szCs w:val="21"/>
          <w:highlight w:val="none"/>
          <w14:textFill>
            <w14:solidFill>
              <w14:schemeClr w14:val="tx1"/>
            </w14:solidFill>
          </w14:textFill>
        </w:rPr>
        <w:t>法定代表人（单位负责人）身份证复印件</w:t>
      </w:r>
    </w:p>
    <w:p w14:paraId="748A187C">
      <w:pPr>
        <w:snapToGrid w:val="0"/>
        <w:jc w:val="left"/>
        <w:rPr>
          <w:rFonts w:hint="eastAsia" w:ascii="宋体" w:hAnsi="宋体" w:eastAsia="宋体" w:cs="宋体"/>
          <w:b/>
          <w:bCs/>
          <w:color w:val="000000" w:themeColor="text1"/>
          <w:sz w:val="28"/>
          <w:szCs w:val="28"/>
          <w:highlight w:val="none"/>
          <w14:textFill>
            <w14:solidFill>
              <w14:schemeClr w14:val="tx1"/>
            </w14:solidFill>
          </w14:textFill>
        </w:rPr>
      </w:pPr>
      <w:r>
        <w:rPr>
          <w:rFonts w:ascii="宋体" w:cs="宋体"/>
          <w:b/>
          <w:bCs/>
          <w:color w:val="000000" w:themeColor="text1"/>
          <w:szCs w:val="21"/>
          <w:highlight w:val="none"/>
          <w14:textFill>
            <w14:solidFill>
              <w14:schemeClr w14:val="tx1"/>
            </w14:solidFill>
          </w14:textFill>
        </w:rPr>
        <w:br w:type="page"/>
      </w:r>
      <w:bookmarkStart w:id="112" w:name="法定代表人授权委托书"/>
      <w:r>
        <w:rPr>
          <w:rFonts w:hint="eastAsia" w:ascii="宋体" w:hAnsi="宋体" w:eastAsia="宋体" w:cs="宋体"/>
          <w:b/>
          <w:color w:val="000000" w:themeColor="text1"/>
          <w:sz w:val="24"/>
          <w:highlight w:val="none"/>
          <w14:textFill>
            <w14:solidFill>
              <w14:schemeClr w14:val="tx1"/>
            </w14:solidFill>
          </w14:textFill>
        </w:rPr>
        <w:t>附件</w:t>
      </w:r>
      <w:r>
        <w:rPr>
          <w:rFonts w:hint="eastAsia" w:ascii="宋体" w:hAnsi="宋体" w:cs="宋体"/>
          <w:b/>
          <w:color w:val="000000" w:themeColor="text1"/>
          <w:sz w:val="24"/>
          <w:highlight w:val="none"/>
          <w:lang w:val="en-US" w:eastAsia="zh-CN"/>
          <w14:textFill>
            <w14:solidFill>
              <w14:schemeClr w14:val="tx1"/>
            </w14:solidFill>
          </w14:textFill>
        </w:rPr>
        <w:t>2</w:t>
      </w:r>
      <w:r>
        <w:rPr>
          <w:rFonts w:hint="eastAsia" w:ascii="宋体" w:hAnsi="宋体" w:eastAsia="宋体" w:cs="宋体"/>
          <w:b/>
          <w:color w:val="000000" w:themeColor="text1"/>
          <w:sz w:val="24"/>
          <w:highlight w:val="none"/>
          <w14:textFill>
            <w14:solidFill>
              <w14:schemeClr w14:val="tx1"/>
            </w14:solidFill>
          </w14:textFill>
        </w:rPr>
        <w:t>-2</w:t>
      </w:r>
      <w:bookmarkEnd w:id="112"/>
    </w:p>
    <w:p w14:paraId="6BF79649">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13E9075">
      <w:pPr>
        <w:spacing w:line="500" w:lineRule="exact"/>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法定代表人（单位负责人）</w:t>
      </w:r>
      <w:r>
        <w:rPr>
          <w:rFonts w:hint="eastAsia" w:ascii="宋体" w:hAnsi="宋体" w:eastAsia="宋体" w:cs="宋体"/>
          <w:b/>
          <w:bCs/>
          <w:color w:val="000000" w:themeColor="text1"/>
          <w:sz w:val="28"/>
          <w:szCs w:val="28"/>
          <w:highlight w:val="none"/>
          <w14:textFill>
            <w14:solidFill>
              <w14:schemeClr w14:val="tx1"/>
            </w14:solidFill>
          </w14:textFill>
        </w:rPr>
        <w:t>授权委托书</w:t>
      </w:r>
    </w:p>
    <w:p w14:paraId="3BDFC2E3">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hint="default" w:ascii="宋体" w:hAnsi="宋体" w:eastAsia="宋体" w:cs="宋体"/>
          <w:color w:val="000000" w:themeColor="text1"/>
          <w:szCs w:val="21"/>
          <w:highlight w:val="none"/>
          <w:u w:val="none"/>
          <w:lang w:val="en-US" w:eastAsia="zh-CN"/>
          <w14:textFill>
            <w14:solidFill>
              <w14:schemeClr w14:val="tx1"/>
            </w14:solidFill>
          </w14:textFill>
        </w:rPr>
      </w:pPr>
    </w:p>
    <w:p w14:paraId="00590E3E">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常山县财政局</w:t>
      </w:r>
      <w:r>
        <w:rPr>
          <w:rFonts w:hint="eastAsia" w:ascii="宋体" w:hAnsi="宋体" w:eastAsia="宋体" w:cs="宋体"/>
          <w:color w:val="000000" w:themeColor="text1"/>
          <w:szCs w:val="21"/>
          <w:highlight w:val="none"/>
          <w:u w:val="single"/>
          <w:lang w:eastAsia="zh-CN"/>
          <w14:textFill>
            <w14:solidFill>
              <w14:schemeClr w14:val="tx1"/>
            </w14:solidFill>
          </w14:textFill>
        </w:rPr>
        <w:t>：</w:t>
      </w:r>
    </w:p>
    <w:p w14:paraId="7D0CF972">
      <w:pPr>
        <w:keepNext w:val="0"/>
        <w:keepLines w:val="0"/>
        <w:pageBreakBefore w:val="0"/>
        <w:widowControl w:val="0"/>
        <w:kinsoku/>
        <w:overflowPunct/>
        <w:topLinePunct w:val="0"/>
        <w:autoSpaceDE/>
        <w:autoSpaceDN/>
        <w:bidi w:val="0"/>
        <w:adjustRightInd/>
        <w:snapToGrid/>
        <w:spacing w:line="360" w:lineRule="auto"/>
        <w:ind w:firstLine="105" w:firstLineChars="5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泰宇建筑工程技术咨询有限公司</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73097306">
      <w:pPr>
        <w:keepNext w:val="0"/>
        <w:keepLines w:val="0"/>
        <w:pageBreakBefore w:val="0"/>
        <w:widowControl w:val="0"/>
        <w:kinsoku/>
        <w:wordWrap w:val="0"/>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（投标人名称）的</w:t>
      </w:r>
      <w:r>
        <w:rPr>
          <w:rFonts w:hint="eastAsia" w:ascii="宋体" w:hAnsi="宋体" w:eastAsia="宋体" w:cs="宋体"/>
          <w:color w:val="000000" w:themeColor="text1"/>
          <w:szCs w:val="21"/>
          <w:highlight w:val="none"/>
          <w:lang w:eastAsia="zh-CN"/>
          <w14:textFill>
            <w14:solidFill>
              <w14:schemeClr w14:val="tx1"/>
            </w14:solidFill>
          </w14:textFill>
        </w:rPr>
        <w:t>法定代表人（单位负责人）</w:t>
      </w:r>
      <w:r>
        <w:rPr>
          <w:rFonts w:hint="eastAsia" w:ascii="宋体" w:hAnsi="宋体" w:eastAsia="宋体" w:cs="宋体"/>
          <w:color w:val="000000" w:themeColor="text1"/>
          <w:szCs w:val="21"/>
          <w:highlight w:val="none"/>
          <w14:textFill>
            <w14:solidFill>
              <w14:schemeClr w14:val="tx1"/>
            </w14:solidFill>
          </w14:textFill>
        </w:rPr>
        <w:t>，现授权委托本单位在职职工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（姓名）以我方的名义参加贵处组织的</w:t>
      </w:r>
      <w:r>
        <w:rPr>
          <w:rFonts w:hint="eastAsia" w:ascii="宋体" w:hAnsi="宋体" w:eastAsia="宋体" w:cs="宋体"/>
          <w:color w:val="000000" w:themeColor="text1"/>
          <w:szCs w:val="21"/>
          <w:highlight w:val="none"/>
          <w:u w:val="single"/>
          <w14:textFill>
            <w14:solidFill>
              <w14:schemeClr w14:val="tx1"/>
            </w14:solidFill>
          </w14:textFill>
        </w:rPr>
        <w:t>（项目名称</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）（项目编号</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的投标活动，并代表我方全权办理针对上述项目的投标文件签署、投标、参加开标会议、签约（如我方中标）等具体事务和签署相关文件。</w:t>
      </w:r>
    </w:p>
    <w:p w14:paraId="5A5AA1A4">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我方对被授权人签名的事项负全部责任。</w:t>
      </w:r>
    </w:p>
    <w:p w14:paraId="2BFB38EF">
      <w:pPr>
        <w:keepNext w:val="0"/>
        <w:keepLines w:val="0"/>
        <w:pageBreakBefore w:val="0"/>
        <w:widowControl w:val="0"/>
        <w:kinsoku/>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在撤销授权的书面通知以前，本授权书一直有效。被授权人在授权书有效期内签署的所有文件不因授权的撤销而失效。被授权人无转委托权，特此委托。</w:t>
      </w:r>
    </w:p>
    <w:p w14:paraId="63E5BA10">
      <w:pPr>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3AEDB2AB">
      <w:pPr>
        <w:spacing w:line="500" w:lineRule="exac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ADF733C">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被授权人身份证号码：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633BE397">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联系电话：</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手机：</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2D0D2E91">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（盖章）</w:t>
      </w:r>
    </w:p>
    <w:p w14:paraId="0BD3AAE2">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法定代表人（单位负责人）</w:t>
      </w:r>
      <w:r>
        <w:rPr>
          <w:rFonts w:hint="eastAsia" w:ascii="宋体" w:hAnsi="宋体" w:eastAsia="宋体" w:cs="宋体"/>
          <w:color w:val="000000" w:themeColor="text1"/>
          <w:szCs w:val="21"/>
          <w:highlight w:val="none"/>
          <w14:textFill>
            <w14:solidFill>
              <w14:schemeClr w14:val="tx1"/>
            </w14:solidFill>
          </w14:textFill>
        </w:rPr>
        <w:t>签字：</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6D6B74A8">
      <w:pPr>
        <w:spacing w:line="5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w:t>
      </w:r>
    </w:p>
    <w:p w14:paraId="50CB1AA3">
      <w:pPr>
        <w:rPr>
          <w:rFonts w:hint="eastAsia" w:ascii="宋体" w:cs="宋体"/>
          <w:b/>
          <w:color w:val="000000" w:themeColor="text1"/>
          <w:szCs w:val="21"/>
          <w:highlight w:val="none"/>
          <w:lang w:eastAsia="zh-CN"/>
          <w14:textFill>
            <w14:solidFill>
              <w14:schemeClr w14:val="tx1"/>
            </w14:solidFill>
          </w14:textFill>
        </w:rPr>
      </w:pPr>
    </w:p>
    <w:p w14:paraId="40F64525">
      <w:pPr>
        <w:rPr>
          <w:color w:val="000000" w:themeColor="text1"/>
          <w:highlight w:val="none"/>
          <w14:textFill>
            <w14:solidFill>
              <w14:schemeClr w14:val="tx1"/>
            </w14:solidFill>
          </w14:textFill>
        </w:rPr>
      </w:pPr>
      <w:r>
        <w:rPr>
          <w:rFonts w:hint="eastAsia" w:ascii="宋体" w:cs="宋体"/>
          <w:b/>
          <w:color w:val="000000" w:themeColor="text1"/>
          <w:szCs w:val="21"/>
          <w:highlight w:val="none"/>
          <w:lang w:eastAsia="zh-CN"/>
          <w14:textFill>
            <w14:solidFill>
              <w14:schemeClr w14:val="tx1"/>
            </w14:solidFill>
          </w14:textFill>
        </w:rPr>
        <w:t>所需附件：</w:t>
      </w:r>
      <w:r>
        <w:rPr>
          <w:rFonts w:hint="eastAsia" w:ascii="宋体" w:hAnsi="宋体" w:cs="宋体"/>
          <w:b/>
          <w:color w:val="000000" w:themeColor="text1"/>
          <w:szCs w:val="21"/>
          <w:highlight w:val="none"/>
          <w14:textFill>
            <w14:solidFill>
              <w14:schemeClr w14:val="tx1"/>
            </w14:solidFill>
          </w14:textFill>
        </w:rPr>
        <w:t>法定代表人（单位负责人）</w:t>
      </w:r>
      <w:r>
        <w:rPr>
          <w:rFonts w:hint="eastAsia" w:ascii="宋体" w:hAnsi="宋体" w:cs="宋体"/>
          <w:b/>
          <w:color w:val="000000" w:themeColor="text1"/>
          <w:szCs w:val="21"/>
          <w:highlight w:val="none"/>
          <w:lang w:eastAsia="zh-CN"/>
          <w14:textFill>
            <w14:solidFill>
              <w14:schemeClr w14:val="tx1"/>
            </w14:solidFill>
          </w14:textFill>
        </w:rPr>
        <w:t>及授权代理人</w:t>
      </w:r>
      <w:r>
        <w:rPr>
          <w:rFonts w:hint="eastAsia" w:ascii="宋体" w:cs="宋体"/>
          <w:b/>
          <w:color w:val="000000" w:themeColor="text1"/>
          <w:szCs w:val="21"/>
          <w:highlight w:val="none"/>
          <w:lang w:eastAsia="zh-CN"/>
          <w14:textFill>
            <w14:solidFill>
              <w14:schemeClr w14:val="tx1"/>
            </w14:solidFill>
          </w14:textFill>
        </w:rPr>
        <w:t>身份证复印件</w:t>
      </w:r>
      <w:r>
        <w:rPr>
          <w:rFonts w:ascii="宋体" w:cs="宋体"/>
          <w:b/>
          <w:color w:val="000000" w:themeColor="text1"/>
          <w:szCs w:val="21"/>
          <w:highlight w:val="none"/>
          <w14:textFill>
            <w14:solidFill>
              <w14:schemeClr w14:val="tx1"/>
            </w14:solidFill>
          </w14:textFill>
        </w:rPr>
        <w:br w:type="page"/>
      </w:r>
    </w:p>
    <w:p w14:paraId="138EDB1E">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法定代表人（单位负责人）身份证</w:t>
      </w:r>
      <w:r>
        <w:rPr>
          <w:rFonts w:hint="eastAsia" w:ascii="宋体" w:hAnsi="宋体" w:cs="宋体"/>
          <w:b/>
          <w:color w:val="000000" w:themeColor="text1"/>
          <w:szCs w:val="21"/>
          <w:highlight w:val="none"/>
          <w:lang w:eastAsia="zh-CN"/>
          <w14:textFill>
            <w14:solidFill>
              <w14:schemeClr w14:val="tx1"/>
            </w14:solidFill>
          </w14:textFill>
        </w:rPr>
        <w:t>复印件</w:t>
      </w:r>
    </w:p>
    <w:p w14:paraId="0CB8005F">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r>
        <w:rPr>
          <w:color w:val="000000" w:themeColor="text1"/>
          <w:sz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-179705</wp:posOffset>
                </wp:positionH>
                <wp:positionV relativeFrom="paragraph">
                  <wp:posOffset>135890</wp:posOffset>
                </wp:positionV>
                <wp:extent cx="2988310" cy="3130550"/>
                <wp:effectExtent l="4445" t="5080" r="17145" b="7620"/>
                <wp:wrapNone/>
                <wp:docPr id="1028" name="矩形 4"/>
                <wp:cNvGraphicFramePr/>
                <a:graphic xmlns:a="http://schemas.openxmlformats.org/drawingml/2006/main">
                  <a:graphicData uri="http://schemas.microsoft.com/office/word/2010/wordprocessingShape">
                    <wps:wsp>
                      <wps:cNvSpPr/>
                      <wps:spPr>
                        <a:xfrm>
                          <a:off x="0" y="0"/>
                          <a:ext cx="2988310" cy="3130550"/>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73558469"/>
                        </w:txbxContent>
                      </wps:txbx>
                      <wps:bodyPr vert="horz" wrap="square" lIns="91440" tIns="45720" rIns="91440" bIns="45720" anchor="ctr">
                        <a:noAutofit/>
                      </wps:bodyPr>
                    </wps:wsp>
                  </a:graphicData>
                </a:graphic>
              </wp:anchor>
            </w:drawing>
          </mc:Choice>
          <mc:Fallback>
            <w:pict>
              <v:rect id="矩形 4" o:spid="_x0000_s1026" o:spt="1" style="position:absolute;left:0pt;margin-left:-14.15pt;margin-top:10.7pt;height:246.5pt;width:235.3pt;z-index:251659264;v-text-anchor:middle;mso-width-relative:page;mso-height-relative:page;" fillcolor="#FFFFFF" filled="t" stroked="t" coordsize="21600,21600" o:gfxdata="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ZEYRHaAAAACgEAAA8AAAAAAAAAAQAgAAAAIgAAAGRycy9k&#10;b3ducmV2LnhtbFBLAQIUABQAAAAIAIdO4kA7hjYSOQIAAJYEAAAOAAAAAAAAAAEAIAAAACkBAABk&#10;cnMvZTJvRG9jLnhtbFBLBQYAAAAABgAGAFkBAADUBQAAAAA=&#10;">
                <v:fill on="t" focussize="0,0"/>
                <v:stroke weight="0.25pt" color="#000000" joinstyle="round"/>
                <v:imagedata o:title=""/>
                <o:lock v:ext="edit" aspectratio="f"/>
                <v:textbox>
                  <w:txbxContent>
                    <w:p w14:paraId="73558469"/>
                  </w:txbxContent>
                </v:textbox>
              </v:rect>
            </w:pict>
          </mc:Fallback>
        </mc:AlternateContent>
      </w:r>
      <w:r>
        <w:rPr>
          <w:color w:val="000000" w:themeColor="text1"/>
          <w:sz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3100070</wp:posOffset>
                </wp:positionH>
                <wp:positionV relativeFrom="paragraph">
                  <wp:posOffset>140335</wp:posOffset>
                </wp:positionV>
                <wp:extent cx="2988310" cy="3130550"/>
                <wp:effectExtent l="4445" t="5080" r="17145" b="7620"/>
                <wp:wrapNone/>
                <wp:docPr id="1029" name="矩形 12"/>
                <wp:cNvGraphicFramePr/>
                <a:graphic xmlns:a="http://schemas.openxmlformats.org/drawingml/2006/main">
                  <a:graphicData uri="http://schemas.microsoft.com/office/word/2010/wordprocessingShape">
                    <wps:wsp>
                      <wps:cNvSpPr/>
                      <wps:spPr>
                        <a:xfrm>
                          <a:off x="0" y="0"/>
                          <a:ext cx="2988310" cy="3130549"/>
                        </a:xfrm>
                        <a:prstGeom prst="rect">
                          <a:avLst/>
                        </a:prstGeom>
                        <a:solidFill>
                          <a:srgbClr val="FFFFFF"/>
                        </a:solidFill>
                        <a:ln w="3175" cap="flat" cmpd="sng">
                          <a:solidFill>
                            <a:srgbClr val="000000"/>
                          </a:solidFill>
                          <a:prstDash val="solid"/>
                          <a:round/>
                          <a:headEnd type="none" w="med" len="med"/>
                          <a:tailEnd type="none" w="med" len="med"/>
                        </a:ln>
                      </wps:spPr>
                      <wps:bodyPr/>
                    </wps:wsp>
                  </a:graphicData>
                </a:graphic>
              </wp:anchor>
            </w:drawing>
          </mc:Choice>
          <mc:Fallback>
            <w:pict>
              <v:rect id="矩形 12" o:spid="_x0000_s1026" o:spt="1" style="position:absolute;left:0pt;margin-left:244.1pt;margin-top:11.05pt;height:246.5pt;width:235.3pt;z-index:251659264;mso-width-relative:page;mso-height-relative:page;" fillcolor="#FFFFFF" filled="t" stroked="t" coordsize="21600,21600" o:gfxdata="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nxv8O1wAAAAoBAAAPAAAAAAAAAAEAIAAAACIAAABkcnMvZG93bnJldi54bWxQSwEC&#10;FAAUAAAACACHTuJAcecxG/UBAAAXBAAADgAAAAAAAAABACAAAAAmAQAAZHJzL2Uyb0RvYy54bWxQ&#10;SwUGAAAAAAYABgBZAQAAjQUAAAAA&#10;">
                <v:fill on="t" focussize="0,0"/>
                <v:stroke weight="0.25pt" color="#000000" joinstyle="round"/>
                <v:imagedata o:title=""/>
                <o:lock v:ext="edit" aspectratio="f"/>
              </v:rect>
            </w:pict>
          </mc:Fallback>
        </mc:AlternateContent>
      </w:r>
    </w:p>
    <w:p w14:paraId="11400F95">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1B16D823">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6F4D1479">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2280FD83">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60960C94">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4979FA4C">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35F8F225">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61CF2DDA">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54C035EB">
      <w:pPr>
        <w:spacing w:line="360" w:lineRule="auto"/>
        <w:jc w:val="left"/>
        <w:rPr>
          <w:rFonts w:hint="eastAsia" w:ascii="宋体" w:hAnsi="宋体" w:cs="宋体"/>
          <w:b/>
          <w:color w:val="000000" w:themeColor="text1"/>
          <w:szCs w:val="21"/>
          <w:highlight w:val="none"/>
          <w:lang w:eastAsia="zh-CN"/>
          <w14:textFill>
            <w14:solidFill>
              <w14:schemeClr w14:val="tx1"/>
            </w14:solidFill>
          </w14:textFill>
        </w:rPr>
      </w:pPr>
    </w:p>
    <w:p w14:paraId="50367353">
      <w:pPr>
        <w:spacing w:line="360" w:lineRule="auto"/>
        <w:jc w:val="left"/>
        <w:rPr>
          <w:rFonts w:asci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授权代理人身份证</w:t>
      </w:r>
      <w:r>
        <w:rPr>
          <w:rFonts w:hint="eastAsia" w:ascii="宋体" w:hAnsi="宋体" w:cs="宋体"/>
          <w:b/>
          <w:color w:val="000000" w:themeColor="text1"/>
          <w:szCs w:val="21"/>
          <w:highlight w:val="none"/>
          <w:lang w:eastAsia="zh-CN"/>
          <w14:textFill>
            <w14:solidFill>
              <w14:schemeClr w14:val="tx1"/>
            </w14:solidFill>
          </w14:textFill>
        </w:rPr>
        <w:t>复印件</w:t>
      </w:r>
    </w:p>
    <w:p w14:paraId="4E7C0F4F">
      <w:pPr>
        <w:spacing w:line="500" w:lineRule="exact"/>
        <w:rPr>
          <w:rFonts w:hint="eastAsia" w:ascii="宋体" w:hAnsi="宋体" w:eastAsia="宋体" w:cs="宋体"/>
          <w:b/>
          <w:color w:val="000000" w:themeColor="text1"/>
          <w:sz w:val="24"/>
          <w:highlight w:val="none"/>
          <w:lang w:val="en-US" w:eastAsia="zh-CN"/>
          <w14:textFill>
            <w14:solidFill>
              <w14:schemeClr w14:val="tx1"/>
            </w14:solidFill>
          </w14:textFill>
        </w:rPr>
      </w:pPr>
      <w:r>
        <w:rPr>
          <w:color w:val="000000" w:themeColor="text1"/>
          <w:sz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3140075</wp:posOffset>
                </wp:positionH>
                <wp:positionV relativeFrom="paragraph">
                  <wp:posOffset>34290</wp:posOffset>
                </wp:positionV>
                <wp:extent cx="2988310" cy="3130550"/>
                <wp:effectExtent l="4445" t="5080" r="17145" b="7620"/>
                <wp:wrapNone/>
                <wp:docPr id="1030" name="矩形 14"/>
                <wp:cNvGraphicFramePr/>
                <a:graphic xmlns:a="http://schemas.openxmlformats.org/drawingml/2006/main">
                  <a:graphicData uri="http://schemas.microsoft.com/office/word/2010/wordprocessingShape">
                    <wps:wsp>
                      <wps:cNvSpPr/>
                      <wps:spPr>
                        <a:xfrm>
                          <a:off x="0" y="0"/>
                          <a:ext cx="2988310" cy="3130550"/>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0B7BA3A4"/>
                        </w:txbxContent>
                      </wps:txbx>
                      <wps:bodyPr vert="horz" wrap="square" lIns="91440" tIns="45720" rIns="91440" bIns="45720" anchor="ctr">
                        <a:noAutofit/>
                      </wps:bodyPr>
                    </wps:wsp>
                  </a:graphicData>
                </a:graphic>
              </wp:anchor>
            </w:drawing>
          </mc:Choice>
          <mc:Fallback>
            <w:pict>
              <v:rect id="矩形 14" o:spid="_x0000_s1026" o:spt="1" style="position:absolute;left:0pt;margin-left:247.25pt;margin-top:2.7pt;height:246.5pt;width:235.3pt;z-index:251659264;v-text-anchor:middle;mso-width-relative:page;mso-height-relative:page;" fillcolor="#FFFFFF" filled="t" stroked="t" coordsize="21600,21600" o:gfxdata="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aGXrNkAAAAJAQAADwAAAAAAAAABACAAAAAiAAAAZHJzL2Rv&#10;d25yZXYueG1sUEsBAhQAFAAAAAgAh07iQLogKcA5AgAAlwQAAA4AAAAAAAAAAQAgAAAAKAEAAGRy&#10;cy9lMm9Eb2MueG1sUEsFBgAAAAAGAAYAWQEAANMFAAAAAA==&#10;">
                <v:fill on="t" focussize="0,0"/>
                <v:stroke weight="0.25pt" color="#000000" joinstyle="round"/>
                <v:imagedata o:title=""/>
                <o:lock v:ext="edit" aspectratio="f"/>
                <v:textbox>
                  <w:txbxContent>
                    <w:p w14:paraId="0B7BA3A4"/>
                  </w:txbxContent>
                </v:textbox>
              </v:rect>
            </w:pict>
          </mc:Fallback>
        </mc:AlternateContent>
      </w:r>
      <w:r>
        <w:rPr>
          <w:color w:val="000000" w:themeColor="text1"/>
          <w:sz w:val="21"/>
          <w:highlight w:val="none"/>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-137795</wp:posOffset>
                </wp:positionH>
                <wp:positionV relativeFrom="paragraph">
                  <wp:posOffset>30480</wp:posOffset>
                </wp:positionV>
                <wp:extent cx="2988310" cy="3130550"/>
                <wp:effectExtent l="4445" t="5080" r="17145" b="7620"/>
                <wp:wrapNone/>
                <wp:docPr id="1031" name="矩形 13"/>
                <wp:cNvGraphicFramePr/>
                <a:graphic xmlns:a="http://schemas.openxmlformats.org/drawingml/2006/main">
                  <a:graphicData uri="http://schemas.microsoft.com/office/word/2010/wordprocessingShape">
                    <wps:wsp>
                      <wps:cNvSpPr/>
                      <wps:spPr>
                        <a:xfrm>
                          <a:off x="0" y="0"/>
                          <a:ext cx="2988310" cy="3130550"/>
                        </a:xfrm>
                        <a:prstGeom prst="rect">
                          <a:avLst/>
                        </a:prstGeom>
                        <a:solidFill>
                          <a:srgbClr val="FFFFFF"/>
                        </a:solidFill>
                        <a:ln w="3175" cap="flat" cmpd="sng">
                          <a:solidFill>
                            <a:srgbClr val="000000"/>
                          </a:solidFill>
                          <a:prstDash val="solid"/>
                          <a:round/>
                          <a:headEnd type="none" w="med" len="med"/>
                          <a:tailEnd type="none" w="med" len="med"/>
                        </a:ln>
                      </wps:spPr>
                      <wps:txbx>
                        <w:txbxContent>
                          <w:p w14:paraId="2DEFC7B1"/>
                        </w:txbxContent>
                      </wps:txbx>
                      <wps:bodyPr vert="horz" wrap="square" lIns="91440" tIns="45720" rIns="91440" bIns="45720" anchor="ctr">
                        <a:noAutofit/>
                      </wps:bodyPr>
                    </wps:wsp>
                  </a:graphicData>
                </a:graphic>
              </wp:anchor>
            </w:drawing>
          </mc:Choice>
          <mc:Fallback>
            <w:pict>
              <v:rect id="矩形 13" o:spid="_x0000_s1026" o:spt="1" style="position:absolute;left:0pt;margin-left:-10.85pt;margin-top:2.4pt;height:246.5pt;width:235.3pt;z-index:251659264;v-text-anchor:middle;mso-width-relative:page;mso-height-relative:page;" fillcolor="#FFFFFF" filled="t" stroked="t" coordsize="21600,21600" o:gfxdata="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44K/L2gAAAAkBAAAPAAAAAAAAAAEAIAAAACIAAABkcnMv&#10;ZG93bnJldi54bWxQSwECFAAUAAAACACHTuJAj7Xg0zoCAACXBAAADgAAAAAAAAABACAAAAApAQAA&#10;ZHJzL2Uyb0RvYy54bWxQSwUGAAAAAAYABgBZAQAA1QUAAAAA&#10;">
                <v:fill on="t" focussize="0,0"/>
                <v:stroke weight="0.25pt" color="#000000" joinstyle="round"/>
                <v:imagedata o:title=""/>
                <o:lock v:ext="edit" aspectratio="f"/>
                <v:textbox>
                  <w:txbxContent>
                    <w:p w14:paraId="2DEFC7B1"/>
                  </w:txbxContent>
                </v:textbox>
              </v:rect>
            </w:pict>
          </mc:Fallback>
        </mc:AlternateContent>
      </w:r>
      <w:r>
        <w:rPr>
          <w:rFonts w:ascii="宋体" w:cs="宋体"/>
          <w:b/>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 w:val="24"/>
          <w:highlight w:val="none"/>
          <w:lang w:eastAsia="zh-CN"/>
          <w14:textFill>
            <w14:solidFill>
              <w14:schemeClr w14:val="tx1"/>
            </w14:solidFill>
          </w14:textFill>
        </w:rPr>
        <w:t>附件</w:t>
      </w:r>
      <w:r>
        <w:rPr>
          <w:rFonts w:hint="eastAsia" w:ascii="宋体" w:hAnsi="宋体" w:cs="宋体"/>
          <w:b/>
          <w:color w:val="000000" w:themeColor="text1"/>
          <w:sz w:val="24"/>
          <w:highlight w:val="none"/>
          <w:lang w:val="en-US" w:eastAsia="zh-CN"/>
          <w14:textFill>
            <w14:solidFill>
              <w14:schemeClr w14:val="tx1"/>
            </w14:solidFill>
          </w14:textFill>
        </w:rPr>
        <w:t>3</w:t>
      </w:r>
    </w:p>
    <w:p w14:paraId="46154CF4">
      <w:pPr>
        <w:snapToGrid w:val="0"/>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01AC48E0">
      <w:pPr>
        <w:snapToGrid w:val="0"/>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参加</w:t>
      </w:r>
      <w:r>
        <w:rPr>
          <w:rFonts w:hint="eastAsia" w:ascii="宋体" w:hAnsi="宋体" w:eastAsia="宋体" w:cs="宋体"/>
          <w:b/>
          <w:bCs/>
          <w:color w:val="000000" w:themeColor="text1"/>
          <w:sz w:val="28"/>
          <w:szCs w:val="28"/>
          <w:highlight w:val="none"/>
          <w:lang w:eastAsia="zh-CN"/>
          <w14:textFill>
            <w14:solidFill>
              <w14:schemeClr w14:val="tx1"/>
            </w14:solidFill>
          </w14:textFill>
        </w:rPr>
        <w:t>招标</w:t>
      </w:r>
      <w:r>
        <w:rPr>
          <w:rFonts w:hint="eastAsia" w:ascii="宋体" w:hAnsi="宋体" w:eastAsia="宋体" w:cs="宋体"/>
          <w:b/>
          <w:bCs/>
          <w:color w:val="000000" w:themeColor="text1"/>
          <w:sz w:val="28"/>
          <w:szCs w:val="28"/>
          <w:highlight w:val="none"/>
          <w14:textFill>
            <w14:solidFill>
              <w14:schemeClr w14:val="tx1"/>
            </w14:solidFill>
          </w14:textFill>
        </w:rPr>
        <w:t>活动</w:t>
      </w: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近三</w:t>
      </w:r>
      <w:r>
        <w:rPr>
          <w:rFonts w:hint="eastAsia" w:ascii="宋体" w:hAnsi="宋体" w:eastAsia="宋体" w:cs="宋体"/>
          <w:b/>
          <w:bCs/>
          <w:color w:val="000000" w:themeColor="text1"/>
          <w:sz w:val="28"/>
          <w:szCs w:val="28"/>
          <w:highlight w:val="none"/>
          <w14:textFill>
            <w14:solidFill>
              <w14:schemeClr w14:val="tx1"/>
            </w14:solidFill>
          </w14:textFill>
        </w:rPr>
        <w:t>年内在经营活动中无重大违法违规记录及重大违约事件</w:t>
      </w:r>
    </w:p>
    <w:p w14:paraId="72125D46">
      <w:pPr>
        <w:snapToGrid w:val="0"/>
        <w:spacing w:line="360" w:lineRule="auto"/>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的声明书</w:t>
      </w:r>
    </w:p>
    <w:p w14:paraId="68BE09CD">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69BAF7A">
      <w:pPr>
        <w:pStyle w:val="8"/>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hAnsi="宋体" w:cs="宋体"/>
          <w:color w:val="000000" w:themeColor="text1"/>
          <w:szCs w:val="21"/>
          <w:highlight w:val="none"/>
          <w:u w:val="single"/>
          <w:lang w:eastAsia="zh-CN"/>
          <w14:textFill>
            <w14:solidFill>
              <w14:schemeClr w14:val="tx1"/>
            </w14:solidFill>
          </w14:textFill>
        </w:rPr>
        <w:t>常山县财政局</w:t>
      </w:r>
      <w:r>
        <w:rPr>
          <w:rFonts w:hint="eastAsia" w:ascii="宋体" w:hAnsi="宋体" w:eastAsia="宋体" w:cs="宋体"/>
          <w:color w:val="000000" w:themeColor="text1"/>
          <w:szCs w:val="21"/>
          <w:highlight w:val="none"/>
          <w14:textFill>
            <w14:solidFill>
              <w14:schemeClr w14:val="tx1"/>
            </w14:solidFill>
          </w14:textFill>
        </w:rPr>
        <w:t>：</w:t>
      </w:r>
    </w:p>
    <w:p w14:paraId="17AC56F2">
      <w:pPr>
        <w:pStyle w:val="6"/>
        <w:spacing w:after="0"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lang w:val="en-US" w:eastAsia="zh-CN"/>
          <w14:textFill>
            <w14:solidFill>
              <w14:schemeClr w14:val="tx1"/>
            </w14:solidFill>
          </w14:textFill>
        </w:rPr>
        <w:t>泰宇建筑工程技术咨询有限公司</w:t>
      </w:r>
      <w:r>
        <w:rPr>
          <w:rFonts w:hint="eastAsia" w:ascii="宋体" w:hAnsi="宋体" w:eastAsia="宋体" w:cs="宋体"/>
          <w:color w:val="000000" w:themeColor="text1"/>
          <w:szCs w:val="21"/>
          <w:highlight w:val="none"/>
          <w14:textFill>
            <w14:solidFill>
              <w14:schemeClr w14:val="tx1"/>
            </w14:solidFill>
          </w14:textFill>
        </w:rPr>
        <w:t>：</w:t>
      </w:r>
    </w:p>
    <w:p w14:paraId="7593DBAD">
      <w:pPr>
        <w:pStyle w:val="6"/>
        <w:spacing w:after="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我单位近三年内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自投标截止时间往前追溯三年</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，在经营活动中无重大违法违规记录及重大违约事件，特此声明。</w:t>
      </w:r>
    </w:p>
    <w:p w14:paraId="419EBDB0">
      <w:pPr>
        <w:pStyle w:val="6"/>
        <w:spacing w:after="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若</w:t>
      </w:r>
      <w:r>
        <w:rPr>
          <w:rFonts w:hint="eastAsia" w:ascii="宋体" w:hAnsi="宋体" w:eastAsia="宋体" w:cs="宋体"/>
          <w:b w:val="0"/>
          <w:bCs w:val="0"/>
          <w:color w:val="000000" w:themeColor="text1"/>
          <w:szCs w:val="21"/>
          <w:highlight w:val="none"/>
          <w:lang w:eastAsia="zh-CN"/>
          <w14:textFill>
            <w14:solidFill>
              <w14:schemeClr w14:val="tx1"/>
            </w14:solidFill>
          </w14:textFill>
        </w:rPr>
        <w:t>招标人</w:t>
      </w:r>
      <w:r>
        <w:rPr>
          <w:rFonts w:hint="eastAsia" w:ascii="宋体" w:hAnsi="宋体" w:eastAsia="宋体" w:cs="宋体"/>
          <w:b w:val="0"/>
          <w:bCs w:val="0"/>
          <w:color w:val="000000" w:themeColor="text1"/>
          <w:szCs w:val="21"/>
          <w:highlight w:val="none"/>
          <w14:textFill>
            <w14:solidFill>
              <w14:schemeClr w14:val="tx1"/>
            </w14:solidFill>
          </w14:textFill>
        </w:rPr>
        <w:t>或</w:t>
      </w:r>
      <w:r>
        <w:rPr>
          <w:rFonts w:hint="eastAsia" w:ascii="宋体" w:hAnsi="宋体" w:eastAsia="宋体" w:cs="宋体"/>
          <w:b w:val="0"/>
          <w:bCs w:val="0"/>
          <w:color w:val="000000" w:themeColor="text1"/>
          <w:szCs w:val="21"/>
          <w:highlight w:val="none"/>
          <w:lang w:eastAsia="zh-CN"/>
          <w14:textFill>
            <w14:solidFill>
              <w14:schemeClr w14:val="tx1"/>
            </w14:solidFill>
          </w14:textFill>
        </w:rPr>
        <w:t>招标代理机构</w:t>
      </w:r>
      <w:r>
        <w:rPr>
          <w:rFonts w:hint="eastAsia" w:ascii="宋体" w:hAnsi="宋体" w:eastAsia="宋体" w:cs="宋体"/>
          <w:b w:val="0"/>
          <w:bCs w:val="0"/>
          <w:color w:val="000000" w:themeColor="text1"/>
          <w:szCs w:val="21"/>
          <w:highlight w:val="none"/>
          <w14:textFill>
            <w14:solidFill>
              <w14:schemeClr w14:val="tx1"/>
            </w14:solidFill>
          </w14:textFill>
        </w:rPr>
        <w:t>在本项目</w:t>
      </w:r>
      <w:r>
        <w:rPr>
          <w:rFonts w:hint="eastAsia" w:ascii="宋体" w:hAnsi="宋体" w:eastAsia="宋体" w:cs="宋体"/>
          <w:b w:val="0"/>
          <w:bCs w:val="0"/>
          <w:color w:val="000000" w:themeColor="text1"/>
          <w:szCs w:val="21"/>
          <w:highlight w:val="none"/>
          <w:lang w:eastAsia="zh-CN"/>
          <w14:textFill>
            <w14:solidFill>
              <w14:schemeClr w14:val="tx1"/>
            </w14:solidFill>
          </w14:textFill>
        </w:rPr>
        <w:t>招标</w:t>
      </w:r>
      <w:r>
        <w:rPr>
          <w:rFonts w:hint="eastAsia" w:ascii="宋体" w:hAnsi="宋体" w:eastAsia="宋体" w:cs="宋体"/>
          <w:b w:val="0"/>
          <w:bCs w:val="0"/>
          <w:color w:val="000000" w:themeColor="text1"/>
          <w:szCs w:val="21"/>
          <w:highlight w:val="none"/>
          <w14:textFill>
            <w14:solidFill>
              <w14:schemeClr w14:val="tx1"/>
            </w14:solidFill>
          </w14:textFill>
        </w:rPr>
        <w:t>过程中发现我单位近三年内在经营活动中</w:t>
      </w:r>
      <w:r>
        <w:rPr>
          <w:rFonts w:hint="eastAsia" w:ascii="宋体" w:hAnsi="宋体" w:eastAsia="宋体" w:cs="宋体"/>
          <w:b w:val="0"/>
          <w:bCs w:val="0"/>
          <w:color w:val="000000" w:themeColor="text1"/>
          <w:szCs w:val="21"/>
          <w:highlight w:val="none"/>
          <w:lang w:eastAsia="zh-CN"/>
          <w14:textFill>
            <w14:solidFill>
              <w14:schemeClr w14:val="tx1"/>
            </w14:solidFill>
          </w14:textFill>
        </w:rPr>
        <w:t>存在</w:t>
      </w:r>
      <w:r>
        <w:rPr>
          <w:rFonts w:hint="eastAsia" w:ascii="宋体" w:hAnsi="宋体" w:eastAsia="宋体" w:cs="宋体"/>
          <w:b w:val="0"/>
          <w:bCs w:val="0"/>
          <w:color w:val="000000" w:themeColor="text1"/>
          <w:szCs w:val="21"/>
          <w:highlight w:val="none"/>
          <w14:textFill>
            <w14:solidFill>
              <w14:schemeClr w14:val="tx1"/>
            </w14:solidFill>
          </w14:textFill>
        </w:rPr>
        <w:t>重大违法违规记录</w:t>
      </w:r>
      <w:r>
        <w:rPr>
          <w:rFonts w:hint="eastAsia" w:ascii="宋体" w:hAnsi="宋体" w:eastAsia="宋体" w:cs="宋体"/>
          <w:b w:val="0"/>
          <w:bCs w:val="0"/>
          <w:color w:val="000000" w:themeColor="text1"/>
          <w:szCs w:val="21"/>
          <w:highlight w:val="none"/>
          <w:lang w:eastAsia="zh-CN"/>
          <w14:textFill>
            <w14:solidFill>
              <w14:schemeClr w14:val="tx1"/>
            </w14:solidFill>
          </w14:textFill>
        </w:rPr>
        <w:t>或</w:t>
      </w:r>
      <w:r>
        <w:rPr>
          <w:rFonts w:hint="eastAsia" w:ascii="宋体" w:hAnsi="宋体" w:eastAsia="宋体" w:cs="宋体"/>
          <w:b w:val="0"/>
          <w:bCs w:val="0"/>
          <w:color w:val="000000" w:themeColor="text1"/>
          <w:szCs w:val="21"/>
          <w:highlight w:val="none"/>
          <w14:textFill>
            <w14:solidFill>
              <w14:schemeClr w14:val="tx1"/>
            </w14:solidFill>
          </w14:textFill>
        </w:rPr>
        <w:t>重大违约事件</w:t>
      </w:r>
      <w:r>
        <w:rPr>
          <w:rFonts w:hint="eastAsia" w:ascii="宋体" w:hAnsi="宋体" w:eastAsia="宋体" w:cs="宋体"/>
          <w:b w:val="0"/>
          <w:bCs w:val="0"/>
          <w:color w:val="000000" w:themeColor="text1"/>
          <w:szCs w:val="21"/>
          <w:highlight w:val="none"/>
          <w:lang w:eastAsia="zh-CN"/>
          <w14:textFill>
            <w14:solidFill>
              <w14:schemeClr w14:val="tx1"/>
            </w14:solidFill>
          </w14:textFill>
        </w:rPr>
        <w:t>的</w:t>
      </w:r>
      <w:r>
        <w:rPr>
          <w:rFonts w:hint="eastAsia" w:ascii="宋体" w:hAnsi="宋体" w:eastAsia="宋体" w:cs="宋体"/>
          <w:b w:val="0"/>
          <w:bCs w:val="0"/>
          <w:color w:val="000000" w:themeColor="text1"/>
          <w:szCs w:val="21"/>
          <w:highlight w:val="none"/>
          <w14:textFill>
            <w14:solidFill>
              <w14:schemeClr w14:val="tx1"/>
            </w14:solidFill>
          </w14:textFill>
        </w:rPr>
        <w:t>，我单位将</w:t>
      </w:r>
      <w:r>
        <w:rPr>
          <w:rFonts w:hint="eastAsia" w:ascii="宋体" w:hAnsi="宋体" w:eastAsia="宋体" w:cs="宋体"/>
          <w:color w:val="000000" w:themeColor="text1"/>
          <w:szCs w:val="21"/>
          <w:highlight w:val="none"/>
          <w14:textFill>
            <w14:solidFill>
              <w14:schemeClr w14:val="tx1"/>
            </w14:solidFill>
          </w14:textFill>
        </w:rPr>
        <w:t>无条件地退出本项目的</w:t>
      </w:r>
      <w:r>
        <w:rPr>
          <w:rFonts w:hint="eastAsia" w:ascii="宋体" w:hAnsi="宋体" w:eastAsia="宋体" w:cs="宋体"/>
          <w:color w:val="000000" w:themeColor="text1"/>
          <w:szCs w:val="21"/>
          <w:highlight w:val="none"/>
          <w:lang w:eastAsia="zh-CN"/>
          <w14:textFill>
            <w14:solidFill>
              <w14:schemeClr w14:val="tx1"/>
            </w14:solidFill>
          </w14:textFill>
        </w:rPr>
        <w:t>招标</w:t>
      </w:r>
      <w:r>
        <w:rPr>
          <w:rFonts w:hint="eastAsia" w:ascii="宋体" w:hAnsi="宋体" w:eastAsia="宋体" w:cs="宋体"/>
          <w:color w:val="000000" w:themeColor="text1"/>
          <w:szCs w:val="21"/>
          <w:highlight w:val="none"/>
          <w14:textFill>
            <w14:solidFill>
              <w14:schemeClr w14:val="tx1"/>
            </w14:solidFill>
          </w14:textFill>
        </w:rPr>
        <w:t>活动，并承担因此引起的一切后果。</w:t>
      </w:r>
    </w:p>
    <w:p w14:paraId="01D44B20">
      <w:pPr>
        <w:pStyle w:val="6"/>
        <w:spacing w:after="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2316809D">
      <w:pPr>
        <w:pStyle w:val="6"/>
        <w:spacing w:after="0"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172A0313">
      <w:pPr>
        <w:snapToGrid w:val="0"/>
        <w:spacing w:line="360" w:lineRule="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投标人名称（盖章）：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48D29719">
      <w:pPr>
        <w:snapToGrid w:val="0"/>
        <w:spacing w:line="360" w:lineRule="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w:t>
      </w:r>
    </w:p>
    <w:p w14:paraId="4B80278E">
      <w:pPr>
        <w:spacing w:line="600" w:lineRule="exact"/>
        <w:jc w:val="left"/>
        <w:rPr>
          <w:rStyle w:val="25"/>
          <w:rFonts w:hint="eastAsia" w:ascii="宋体" w:hAnsi="宋体" w:eastAsia="宋体" w:cs="宋体"/>
          <w:b/>
          <w:bCs w:val="0"/>
          <w:color w:val="000000" w:themeColor="text1"/>
          <w:sz w:val="24"/>
          <w:szCs w:val="24"/>
          <w:highlight w:val="none"/>
          <w:lang w:val="en-US"/>
          <w14:textFill>
            <w14:solidFill>
              <w14:schemeClr w14:val="tx1"/>
            </w14:solidFill>
          </w14:textFill>
        </w:rPr>
      </w:pPr>
      <w:r>
        <w:rPr>
          <w:rStyle w:val="25"/>
          <w:rFonts w:hint="eastAsia" w:ascii="宋体" w:hAnsi="宋体" w:eastAsia="宋体" w:cs="宋体"/>
          <w:b w:val="0"/>
          <w:color w:val="000000" w:themeColor="text1"/>
          <w:sz w:val="24"/>
          <w:szCs w:val="24"/>
          <w:highlight w:val="none"/>
          <w14:textFill>
            <w14:solidFill>
              <w14:schemeClr w14:val="tx1"/>
            </w14:solidFill>
          </w14:textFill>
        </w:rPr>
        <w:br w:type="page"/>
      </w:r>
      <w:r>
        <w:rPr>
          <w:rStyle w:val="25"/>
          <w:rFonts w:hint="eastAsia" w:ascii="宋体" w:hAnsi="宋体" w:eastAsia="宋体" w:cs="宋体"/>
          <w:b/>
          <w:bCs w:val="0"/>
          <w:color w:val="000000" w:themeColor="text1"/>
          <w:sz w:val="24"/>
          <w:szCs w:val="24"/>
          <w:highlight w:val="none"/>
          <w14:textFill>
            <w14:solidFill>
              <w14:schemeClr w14:val="tx1"/>
            </w14:solidFill>
          </w14:textFill>
        </w:rPr>
        <w:t>附件</w:t>
      </w:r>
      <w:r>
        <w:rPr>
          <w:rStyle w:val="25"/>
          <w:rFonts w:hint="eastAsia" w:ascii="宋体" w:hAnsi="宋体" w:cs="宋体"/>
          <w:b/>
          <w:bCs w:val="0"/>
          <w:color w:val="000000" w:themeColor="text1"/>
          <w:sz w:val="24"/>
          <w:szCs w:val="24"/>
          <w:highlight w:val="none"/>
          <w:lang w:val="en-US"/>
          <w14:textFill>
            <w14:solidFill>
              <w14:schemeClr w14:val="tx1"/>
            </w14:solidFill>
          </w14:textFill>
        </w:rPr>
        <w:t>4</w:t>
      </w:r>
    </w:p>
    <w:p w14:paraId="6538A363">
      <w:pPr>
        <w:snapToGrid w:val="0"/>
        <w:spacing w:line="360" w:lineRule="auto"/>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廉政承诺书</w:t>
      </w:r>
    </w:p>
    <w:p w14:paraId="350DB55F">
      <w:pPr>
        <w:spacing w:line="520" w:lineRule="exact"/>
        <w:rPr>
          <w:rFonts w:hint="eastAsia" w:ascii="宋体" w:hAnsi="宋体" w:eastAsia="宋体" w:cs="宋体"/>
          <w:bCs/>
          <w:color w:val="000000" w:themeColor="text1"/>
          <w:kern w:val="0"/>
          <w:sz w:val="21"/>
          <w:szCs w:val="21"/>
          <w:highlight w:val="none"/>
          <w:u w:val="none"/>
          <w:lang w:eastAsia="zh-CN"/>
          <w14:textFill>
            <w14:solidFill>
              <w14:schemeClr w14:val="tx1"/>
            </w14:solidFill>
          </w14:textFill>
        </w:rPr>
      </w:pPr>
      <w:r>
        <w:rPr>
          <w:rFonts w:hint="eastAsia" w:ascii="宋体" w:hAnsi="宋体" w:cs="宋体"/>
          <w:bCs/>
          <w:color w:val="000000" w:themeColor="text1"/>
          <w:kern w:val="0"/>
          <w:sz w:val="21"/>
          <w:szCs w:val="21"/>
          <w:highlight w:val="none"/>
          <w:u w:val="none"/>
          <w:lang w:eastAsia="zh-CN"/>
          <w14:textFill>
            <w14:solidFill>
              <w14:schemeClr w14:val="tx1"/>
            </w14:solidFill>
          </w14:textFill>
        </w:rPr>
        <w:t>常山县财政局</w:t>
      </w:r>
      <w:r>
        <w:rPr>
          <w:rFonts w:hint="eastAsia" w:ascii="宋体" w:hAnsi="宋体" w:eastAsia="宋体" w:cs="宋体"/>
          <w:bCs/>
          <w:color w:val="000000" w:themeColor="text1"/>
          <w:kern w:val="0"/>
          <w:sz w:val="21"/>
          <w:szCs w:val="21"/>
          <w:highlight w:val="none"/>
          <w:u w:val="none"/>
          <w:lang w:eastAsia="zh-CN"/>
          <w14:textFill>
            <w14:solidFill>
              <w14:schemeClr w14:val="tx1"/>
            </w14:solidFill>
          </w14:textFill>
        </w:rPr>
        <w:t>：</w:t>
      </w:r>
    </w:p>
    <w:p w14:paraId="53F79530">
      <w:pPr>
        <w:spacing w:line="52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根据《财政部关于进一步加强财政部门和预算单位资金存放管理的指导意见》（财库﹝2017﹞76号）、《</w:t>
      </w:r>
      <w:r>
        <w:rPr>
          <w:rFonts w:hint="eastAsia" w:ascii="宋体" w:hAnsi="宋体" w:cs="宋体"/>
          <w:bCs/>
          <w:color w:val="000000" w:themeColor="text1"/>
          <w:kern w:val="0"/>
          <w:sz w:val="21"/>
          <w:szCs w:val="21"/>
          <w:highlight w:val="none"/>
          <w:lang w:eastAsia="zh-CN"/>
          <w14:textFill>
            <w14:solidFill>
              <w14:schemeClr w14:val="tx1"/>
            </w14:solidFill>
          </w14:textFill>
        </w:rPr>
        <w:t>常山县县级财政资金竞争性存放管理暂行办法</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lang w:eastAsia="zh-CN"/>
          <w14:textFill>
            <w14:solidFill>
              <w14:schemeClr w14:val="tx1"/>
            </w14:solidFill>
          </w14:textFill>
        </w:rPr>
        <w:t>常政办发</w:t>
      </w:r>
      <w:r>
        <w:rPr>
          <w:rFonts w:hint="eastAsia" w:ascii="宋体" w:hAnsi="宋体" w:eastAsia="宋体" w:cs="宋体"/>
          <w:bCs/>
          <w:color w:val="000000" w:themeColor="text1"/>
          <w:kern w:val="0"/>
          <w:sz w:val="21"/>
          <w:szCs w:val="21"/>
          <w:highlight w:val="none"/>
          <w14:textFill>
            <w14:solidFill>
              <w14:schemeClr w14:val="tx1"/>
            </w14:solidFill>
          </w14:textFill>
        </w:rPr>
        <w:t>﹝201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0"/>
          <w:sz w:val="21"/>
          <w:szCs w:val="21"/>
          <w:highlight w:val="none"/>
          <w14:textFill>
            <w14:solidFill>
              <w14:schemeClr w14:val="tx1"/>
            </w14:solidFill>
          </w14:textFill>
        </w:rPr>
        <w:t>﹞</w:t>
      </w:r>
      <w:r>
        <w:rPr>
          <w:rFonts w:hint="eastAsia" w:ascii="宋体" w:hAnsi="宋体" w:cs="宋体"/>
          <w:bCs/>
          <w:color w:val="000000" w:themeColor="text1"/>
          <w:kern w:val="0"/>
          <w:sz w:val="21"/>
          <w:szCs w:val="21"/>
          <w:highlight w:val="none"/>
          <w:lang w:val="en-US" w:eastAsia="zh-CN"/>
          <w14:textFill>
            <w14:solidFill>
              <w14:schemeClr w14:val="tx1"/>
            </w14:solidFill>
          </w14:textFill>
        </w:rPr>
        <w:t>165</w:t>
      </w:r>
      <w:r>
        <w:rPr>
          <w:rFonts w:hint="eastAsia" w:ascii="宋体" w:hAnsi="宋体" w:eastAsia="宋体" w:cs="宋体"/>
          <w:bCs/>
          <w:color w:val="000000" w:themeColor="text1"/>
          <w:kern w:val="0"/>
          <w:sz w:val="21"/>
          <w:szCs w:val="21"/>
          <w:highlight w:val="none"/>
          <w14:textFill>
            <w14:solidFill>
              <w14:schemeClr w14:val="tx1"/>
            </w14:solidFill>
          </w14:textFill>
        </w:rPr>
        <w:t>号）相关规定，现就本行参加贵单位</w:t>
      </w:r>
      <w:r>
        <w:rPr>
          <w:rFonts w:hint="eastAsia" w:ascii="宋体" w:hAnsi="宋体" w:cs="宋体"/>
          <w:bCs/>
          <w:color w:val="000000" w:themeColor="text1"/>
          <w:kern w:val="0"/>
          <w:sz w:val="21"/>
          <w:szCs w:val="21"/>
          <w:highlight w:val="none"/>
          <w:u w:val="single"/>
          <w:lang w:val="en-US" w:eastAsia="zh-CN"/>
          <w14:textFill>
            <w14:solidFill>
              <w14:schemeClr w14:val="tx1"/>
            </w14:solidFill>
          </w14:textFill>
        </w:rPr>
        <w:t xml:space="preserve">2025 </w:t>
      </w:r>
      <w:r>
        <w:rPr>
          <w:rFonts w:hint="eastAsia" w:ascii="宋体" w:hAnsi="宋体" w:cs="宋体"/>
          <w:bCs/>
          <w:color w:val="000000" w:themeColor="text1"/>
          <w:kern w:val="0"/>
          <w:sz w:val="21"/>
          <w:szCs w:val="21"/>
          <w:highlight w:val="none"/>
          <w:lang w:eastAsia="zh-CN"/>
          <w14:textFill>
            <w14:solidFill>
              <w14:schemeClr w14:val="tx1"/>
            </w14:solidFill>
          </w14:textFill>
        </w:rPr>
        <w:t>年第</w:t>
      </w:r>
      <w:r>
        <w:rPr>
          <w:rFonts w:hint="eastAsia" w:ascii="宋体" w:hAnsi="宋体" w:cs="宋体"/>
          <w:bCs/>
          <w:color w:val="000000" w:themeColor="text1"/>
          <w:kern w:val="0"/>
          <w:sz w:val="21"/>
          <w:szCs w:val="21"/>
          <w:highlight w:val="none"/>
          <w:u w:val="single"/>
          <w:lang w:val="en-US" w:eastAsia="zh-CN"/>
          <w14:textFill>
            <w14:solidFill>
              <w14:schemeClr w14:val="tx1"/>
            </w14:solidFill>
          </w14:textFill>
        </w:rPr>
        <w:t xml:space="preserve"> 二 </w:t>
      </w:r>
      <w:r>
        <w:rPr>
          <w:rFonts w:hint="eastAsia" w:ascii="宋体" w:hAnsi="宋体" w:cs="宋体"/>
          <w:bCs/>
          <w:color w:val="000000" w:themeColor="text1"/>
          <w:kern w:val="0"/>
          <w:sz w:val="21"/>
          <w:szCs w:val="21"/>
          <w:highlight w:val="none"/>
          <w:lang w:eastAsia="zh-CN"/>
          <w14:textFill>
            <w14:solidFill>
              <w14:schemeClr w14:val="tx1"/>
            </w14:solidFill>
          </w14:textFill>
        </w:rPr>
        <w:t>期公款竞争性存放项目</w:t>
      </w:r>
      <w:r>
        <w:rPr>
          <w:rFonts w:hint="eastAsia" w:ascii="宋体" w:hAnsi="宋体" w:eastAsia="宋体" w:cs="宋体"/>
          <w:bCs/>
          <w:color w:val="000000" w:themeColor="text1"/>
          <w:kern w:val="0"/>
          <w:sz w:val="21"/>
          <w:szCs w:val="21"/>
          <w:highlight w:val="none"/>
          <w14:textFill>
            <w14:solidFill>
              <w14:schemeClr w14:val="tx1"/>
            </w14:solidFill>
          </w14:textFill>
        </w:rPr>
        <w:t>作出如下承诺：</w:t>
      </w:r>
    </w:p>
    <w:p w14:paraId="6E2471DC">
      <w:pPr>
        <w:spacing w:line="52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不向贵单位负责</w:t>
      </w:r>
      <w:r>
        <w:rPr>
          <w:rFonts w:hint="eastAsia" w:ascii="宋体" w:hAnsi="宋体" w:cs="宋体"/>
          <w:bCs/>
          <w:color w:val="000000" w:themeColor="text1"/>
          <w:kern w:val="0"/>
          <w:sz w:val="21"/>
          <w:szCs w:val="21"/>
          <w:highlight w:val="none"/>
          <w:lang w:eastAsia="zh-CN"/>
          <w14:textFill>
            <w14:solidFill>
              <w14:schemeClr w14:val="tx1"/>
            </w14:solidFill>
          </w14:textFill>
        </w:rPr>
        <w:t>财政资金存放</w:t>
      </w:r>
      <w:r>
        <w:rPr>
          <w:rFonts w:hint="eastAsia" w:ascii="宋体" w:hAnsi="宋体" w:eastAsia="宋体" w:cs="宋体"/>
          <w:color w:val="000000" w:themeColor="text1"/>
          <w:kern w:val="0"/>
          <w:szCs w:val="21"/>
          <w:highlight w:val="none"/>
          <w:lang w:eastAsia="zh-CN"/>
          <w14:textFill>
            <w14:solidFill>
              <w14:schemeClr w14:val="tx1"/>
            </w14:solidFill>
          </w14:textFill>
        </w:rPr>
        <w:t>管理</w:t>
      </w:r>
      <w:r>
        <w:rPr>
          <w:rFonts w:hint="eastAsia" w:ascii="宋体" w:hAnsi="宋体" w:eastAsia="宋体" w:cs="宋体"/>
          <w:bCs/>
          <w:color w:val="000000" w:themeColor="text1"/>
          <w:kern w:val="0"/>
          <w:sz w:val="21"/>
          <w:szCs w:val="21"/>
          <w:highlight w:val="none"/>
          <w14:textFill>
            <w14:solidFill>
              <w14:schemeClr w14:val="tx1"/>
            </w14:solidFill>
          </w14:textFill>
        </w:rPr>
        <w:t>的领导及相关人员进行利益输送；</w:t>
      </w:r>
    </w:p>
    <w:p w14:paraId="0250DCC9">
      <w:pPr>
        <w:spacing w:line="52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不将</w:t>
      </w:r>
      <w:r>
        <w:rPr>
          <w:rFonts w:hint="eastAsia" w:ascii="宋体" w:hAnsi="宋体" w:cs="宋体"/>
          <w:bCs/>
          <w:color w:val="000000" w:themeColor="text1"/>
          <w:kern w:val="0"/>
          <w:sz w:val="21"/>
          <w:szCs w:val="21"/>
          <w:highlight w:val="none"/>
          <w:lang w:eastAsia="zh-CN"/>
          <w14:textFill>
            <w14:solidFill>
              <w14:schemeClr w14:val="tx1"/>
            </w14:solidFill>
          </w14:textFill>
        </w:rPr>
        <w:t>财政资金存放</w:t>
      </w:r>
      <w:r>
        <w:rPr>
          <w:rFonts w:hint="eastAsia" w:ascii="宋体" w:hAnsi="宋体" w:eastAsia="宋体" w:cs="宋体"/>
          <w:bCs/>
          <w:color w:val="000000" w:themeColor="text1"/>
          <w:kern w:val="0"/>
          <w:sz w:val="21"/>
          <w:szCs w:val="21"/>
          <w:highlight w:val="none"/>
          <w14:textFill>
            <w14:solidFill>
              <w14:schemeClr w14:val="tx1"/>
            </w14:solidFill>
          </w14:textFill>
        </w:rPr>
        <w:t>与贵单位负责</w:t>
      </w:r>
      <w:r>
        <w:rPr>
          <w:rFonts w:hint="eastAsia" w:ascii="宋体" w:hAnsi="宋体" w:cs="宋体"/>
          <w:bCs/>
          <w:color w:val="000000" w:themeColor="text1"/>
          <w:kern w:val="0"/>
          <w:sz w:val="21"/>
          <w:szCs w:val="21"/>
          <w:highlight w:val="none"/>
          <w:lang w:eastAsia="zh-CN"/>
          <w14:textFill>
            <w14:solidFill>
              <w14:schemeClr w14:val="tx1"/>
            </w14:solidFill>
          </w14:textFill>
        </w:rPr>
        <w:t>财政资金存放管理</w:t>
      </w:r>
      <w:r>
        <w:rPr>
          <w:rFonts w:hint="eastAsia" w:ascii="宋体" w:hAnsi="宋体" w:eastAsia="宋体" w:cs="宋体"/>
          <w:bCs/>
          <w:color w:val="000000" w:themeColor="text1"/>
          <w:kern w:val="0"/>
          <w:sz w:val="21"/>
          <w:szCs w:val="21"/>
          <w:highlight w:val="none"/>
          <w14:textFill>
            <w14:solidFill>
              <w14:schemeClr w14:val="tx1"/>
            </w14:solidFill>
          </w14:textFill>
        </w:rPr>
        <w:t>的领导及相关人员在本行的配偶、子女及其配偶和其他直接利益相关人员的业绩、收入、晋升挂钩；</w:t>
      </w:r>
    </w:p>
    <w:p w14:paraId="1D27759C">
      <w:pPr>
        <w:spacing w:line="52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严格执行利益回避制度，</w:t>
      </w:r>
      <w:r>
        <w:rPr>
          <w:rFonts w:hint="eastAsia" w:ascii="宋体" w:hAnsi="宋体" w:eastAsia="宋体" w:cs="宋体"/>
          <w:bCs/>
          <w:color w:val="000000" w:themeColor="text1"/>
          <w:kern w:val="0"/>
          <w:sz w:val="21"/>
          <w:szCs w:val="21"/>
          <w:highlight w:val="none"/>
          <w14:textFill>
            <w14:solidFill>
              <w14:schemeClr w14:val="tx1"/>
            </w14:solidFill>
          </w14:textFill>
        </w:rPr>
        <w:t>贵单位负责</w:t>
      </w:r>
      <w:r>
        <w:rPr>
          <w:rFonts w:hint="eastAsia" w:ascii="宋体" w:hAnsi="宋体" w:cs="宋体"/>
          <w:bCs/>
          <w:color w:val="000000" w:themeColor="text1"/>
          <w:kern w:val="0"/>
          <w:sz w:val="21"/>
          <w:szCs w:val="21"/>
          <w:highlight w:val="none"/>
          <w:lang w:eastAsia="zh-CN"/>
          <w14:textFill>
            <w14:solidFill>
              <w14:schemeClr w14:val="tx1"/>
            </w14:solidFill>
          </w14:textFill>
        </w:rPr>
        <w:t>财政资金竞争性存放</w:t>
      </w:r>
      <w:r>
        <w:rPr>
          <w:rFonts w:hint="eastAsia" w:ascii="宋体" w:hAnsi="宋体" w:eastAsia="宋体" w:cs="宋体"/>
          <w:bCs/>
          <w:color w:val="000000" w:themeColor="text1"/>
          <w:kern w:val="0"/>
          <w:sz w:val="21"/>
          <w:szCs w:val="21"/>
          <w:highlight w:val="none"/>
          <w14:textFill>
            <w14:solidFill>
              <w14:schemeClr w14:val="tx1"/>
            </w14:solidFill>
          </w14:textFill>
        </w:rPr>
        <w:t>相关人员的配偶、子女及其配偶和其他直接利益相关人员为本行工作人员的，不参与</w:t>
      </w:r>
      <w:r>
        <w:rPr>
          <w:rFonts w:hint="eastAsia" w:ascii="宋体" w:hAnsi="宋体" w:cs="宋体"/>
          <w:bCs/>
          <w:color w:val="000000" w:themeColor="text1"/>
          <w:kern w:val="0"/>
          <w:sz w:val="21"/>
          <w:szCs w:val="21"/>
          <w:highlight w:val="none"/>
          <w:lang w:eastAsia="zh-CN"/>
          <w14:textFill>
            <w14:solidFill>
              <w14:schemeClr w14:val="tx1"/>
            </w14:solidFill>
          </w14:textFill>
        </w:rPr>
        <w:t>财政资金竞争性存放</w:t>
      </w:r>
      <w:r>
        <w:rPr>
          <w:rFonts w:hint="eastAsia" w:ascii="宋体" w:hAnsi="宋体" w:eastAsia="宋体" w:cs="宋体"/>
          <w:bCs/>
          <w:color w:val="000000" w:themeColor="text1"/>
          <w:kern w:val="0"/>
          <w:sz w:val="21"/>
          <w:szCs w:val="21"/>
          <w:highlight w:val="none"/>
          <w14:textFill>
            <w14:solidFill>
              <w14:schemeClr w14:val="tx1"/>
            </w14:solidFill>
          </w14:textFill>
        </w:rPr>
        <w:t>工作；</w:t>
      </w:r>
    </w:p>
    <w:p w14:paraId="48271D32">
      <w:pPr>
        <w:spacing w:line="52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4</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不发生除上述行为之外的其他任何利益输送行为。</w:t>
      </w:r>
    </w:p>
    <w:p w14:paraId="7374812B">
      <w:pPr>
        <w:spacing w:line="520" w:lineRule="exact"/>
        <w:ind w:firstLine="420" w:firstLineChars="200"/>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未遵守以上承诺的，本行自愿接受财政部门通报和处理，承担相应的一切后果。</w:t>
      </w:r>
    </w:p>
    <w:p w14:paraId="6AB70339">
      <w:pPr>
        <w:pStyle w:val="26"/>
        <w:spacing w:line="520" w:lineRule="exact"/>
        <w:jc w:val="both"/>
        <w:rPr>
          <w:rFonts w:hint="eastAsia" w:ascii="宋体" w:hAnsi="宋体" w:eastAsia="宋体" w:cs="宋体"/>
          <w:bCs/>
          <w:color w:val="000000" w:themeColor="text1"/>
          <w:sz w:val="21"/>
          <w:szCs w:val="21"/>
          <w:highlight w:val="none"/>
          <w:lang w:eastAsia="zh-CN"/>
          <w14:textFill>
            <w14:solidFill>
              <w14:schemeClr w14:val="tx1"/>
            </w14:solidFill>
          </w14:textFill>
        </w:rPr>
      </w:pPr>
    </w:p>
    <w:p w14:paraId="48B75250">
      <w:pPr>
        <w:pStyle w:val="26"/>
        <w:spacing w:line="520" w:lineRule="exact"/>
        <w:jc w:val="both"/>
        <w:rPr>
          <w:rFonts w:hint="eastAsia" w:ascii="宋体" w:hAnsi="宋体" w:eastAsia="宋体" w:cs="宋体"/>
          <w:bCs/>
          <w:color w:val="000000" w:themeColor="text1"/>
          <w:sz w:val="21"/>
          <w:szCs w:val="21"/>
          <w:highlight w:val="none"/>
          <w:lang w:eastAsia="zh-CN"/>
          <w14:textFill>
            <w14:solidFill>
              <w14:schemeClr w14:val="tx1"/>
            </w14:solidFill>
          </w14:textFill>
        </w:rPr>
      </w:pPr>
    </w:p>
    <w:p w14:paraId="6B03D320">
      <w:pPr>
        <w:pStyle w:val="26"/>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银行（公章）</w:t>
      </w:r>
    </w:p>
    <w:p w14:paraId="1501DFF1">
      <w:pPr>
        <w:spacing w:line="520" w:lineRule="exac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p w14:paraId="002BDCF1">
      <w:pPr>
        <w:spacing w:line="520" w:lineRule="exac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 w:val="21"/>
          <w:szCs w:val="21"/>
          <w:highlight w:val="none"/>
          <w14:textFill>
            <w14:solidFill>
              <w14:schemeClr w14:val="tx1"/>
            </w14:solidFill>
          </w14:textFill>
        </w:rPr>
        <w:t xml:space="preserve">        年    月    日</w:t>
      </w:r>
    </w:p>
    <w:p w14:paraId="3F543500">
      <w:pPr>
        <w:pStyle w:val="27"/>
        <w:spacing w:line="540" w:lineRule="exact"/>
        <w:ind w:firstLine="0" w:firstLineChars="0"/>
        <w:jc w:val="both"/>
        <w:rPr>
          <w:color w:val="000000" w:themeColor="text1"/>
          <w:highlight w:val="none"/>
          <w14:textFill>
            <w14:solidFill>
              <w14:schemeClr w14:val="tx1"/>
            </w14:solidFill>
          </w14:textFill>
        </w:rPr>
      </w:pPr>
    </w:p>
    <w:p w14:paraId="13E54DAC">
      <w:pPr>
        <w:spacing w:line="600" w:lineRule="exact"/>
        <w:jc w:val="left"/>
        <w:rPr>
          <w:rStyle w:val="25"/>
          <w:rFonts w:hint="default" w:ascii="宋体" w:hAnsi="宋体" w:eastAsia="宋体" w:cs="宋体"/>
          <w:b/>
          <w:bCs w:val="0"/>
          <w:color w:val="000000" w:themeColor="text1"/>
          <w:sz w:val="24"/>
          <w:szCs w:val="24"/>
          <w:highlight w:val="none"/>
          <w:lang w:val="en-US"/>
          <w14:textFill>
            <w14:solidFill>
              <w14:schemeClr w14:val="tx1"/>
            </w14:solidFill>
          </w14:textFill>
        </w:rPr>
      </w:pPr>
      <w:r>
        <w:rPr>
          <w:rStyle w:val="25"/>
          <w:rFonts w:hint="eastAsia" w:ascii="宋体" w:hAnsi="宋体" w:eastAsia="宋体" w:cs="宋体"/>
          <w:b/>
          <w:bCs w:val="0"/>
          <w:color w:val="000000" w:themeColor="text1"/>
          <w:sz w:val="24"/>
          <w:szCs w:val="24"/>
          <w:highlight w:val="none"/>
          <w14:textFill>
            <w14:solidFill>
              <w14:schemeClr w14:val="tx1"/>
            </w14:solidFill>
          </w14:textFill>
        </w:rPr>
        <w:br w:type="page"/>
      </w:r>
      <w:r>
        <w:rPr>
          <w:rStyle w:val="25"/>
          <w:rFonts w:hint="eastAsia" w:ascii="宋体" w:hAnsi="宋体" w:eastAsia="宋体" w:cs="宋体"/>
          <w:b/>
          <w:bCs w:val="0"/>
          <w:color w:val="000000" w:themeColor="text1"/>
          <w:sz w:val="24"/>
          <w:szCs w:val="24"/>
          <w:highlight w:val="none"/>
          <w14:textFill>
            <w14:solidFill>
              <w14:schemeClr w14:val="tx1"/>
            </w14:solidFill>
          </w14:textFill>
        </w:rPr>
        <w:t>附件</w:t>
      </w:r>
      <w:r>
        <w:rPr>
          <w:rStyle w:val="25"/>
          <w:rFonts w:hint="eastAsia" w:ascii="宋体" w:hAnsi="宋体" w:cs="宋体"/>
          <w:b/>
          <w:bCs w:val="0"/>
          <w:color w:val="000000" w:themeColor="text1"/>
          <w:sz w:val="24"/>
          <w:szCs w:val="24"/>
          <w:highlight w:val="none"/>
          <w:lang w:val="en-US"/>
          <w14:textFill>
            <w14:solidFill>
              <w14:schemeClr w14:val="tx1"/>
            </w14:solidFill>
          </w14:textFill>
        </w:rPr>
        <w:t>5</w:t>
      </w:r>
    </w:p>
    <w:p w14:paraId="5B737905">
      <w:pPr>
        <w:jc w:val="center"/>
        <w:rPr>
          <w:rFonts w:hint="eastAsia"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14:textFill>
            <w14:solidFill>
              <w14:schemeClr w14:val="tx1"/>
            </w14:solidFill>
          </w14:textFill>
        </w:rPr>
        <w:t>开标一览表</w:t>
      </w:r>
    </w:p>
    <w:p w14:paraId="072BE719">
      <w:pPr>
        <w:jc w:val="center"/>
        <w:rPr>
          <w:rFonts w:hint="eastAsia" w:ascii="宋体" w:hAnsi="宋体" w:eastAsia="宋体" w:cs="宋体"/>
          <w:b/>
          <w:bCs/>
          <w:color w:val="000000" w:themeColor="text1"/>
          <w:sz w:val="28"/>
          <w:szCs w:val="28"/>
          <w:highlight w:val="none"/>
          <w14:textFill>
            <w14:solidFill>
              <w14:schemeClr w14:val="tx1"/>
            </w14:solidFill>
          </w14:textFill>
        </w:rPr>
      </w:pPr>
    </w:p>
    <w:p w14:paraId="4F9CE027">
      <w:pPr>
        <w:autoSpaceDE w:val="0"/>
        <w:autoSpaceDN w:val="0"/>
        <w:spacing w:line="360" w:lineRule="auto"/>
        <w:ind w:firstLine="630" w:firstLineChars="300"/>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项目名称：</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 xml:space="preserve">               项目编号：</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u w:val="none"/>
          <w:lang w:val="en-US" w:eastAsia="zh-CN"/>
          <w14:textFill>
            <w14:solidFill>
              <w14:schemeClr w14:val="tx1"/>
            </w14:solidFill>
          </w14:textFill>
        </w:rPr>
        <w:t xml:space="preserve">      </w:t>
      </w:r>
    </w:p>
    <w:tbl>
      <w:tblPr>
        <w:tblStyle w:val="15"/>
        <w:tblW w:w="89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1"/>
        <w:gridCol w:w="3763"/>
        <w:gridCol w:w="4214"/>
      </w:tblGrid>
      <w:tr w14:paraId="5658C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9"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14:paraId="3E2F8DAF">
            <w:pPr>
              <w:pStyle w:val="8"/>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序号</w:t>
            </w:r>
          </w:p>
        </w:tc>
        <w:tc>
          <w:tcPr>
            <w:tcW w:w="3763" w:type="dxa"/>
            <w:tcBorders>
              <w:top w:val="single" w:color="auto" w:sz="4" w:space="0"/>
              <w:left w:val="single" w:color="auto" w:sz="4" w:space="0"/>
              <w:bottom w:val="single" w:color="auto" w:sz="4" w:space="0"/>
              <w:right w:val="single" w:color="auto" w:sz="4" w:space="0"/>
            </w:tcBorders>
            <w:vAlign w:val="center"/>
          </w:tcPr>
          <w:p w14:paraId="490E6F75">
            <w:pPr>
              <w:pStyle w:val="8"/>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名称</w:t>
            </w:r>
          </w:p>
        </w:tc>
        <w:tc>
          <w:tcPr>
            <w:tcW w:w="4214" w:type="dxa"/>
            <w:tcBorders>
              <w:top w:val="single" w:color="auto" w:sz="4" w:space="0"/>
              <w:left w:val="single" w:color="auto" w:sz="4" w:space="0"/>
              <w:bottom w:val="single" w:color="auto" w:sz="4" w:space="0"/>
              <w:right w:val="single" w:color="auto" w:sz="8" w:space="0"/>
            </w:tcBorders>
            <w:vAlign w:val="center"/>
          </w:tcPr>
          <w:p w14:paraId="333D7BE0">
            <w:pPr>
              <w:pStyle w:val="8"/>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内容</w:t>
            </w:r>
          </w:p>
        </w:tc>
      </w:tr>
      <w:tr w14:paraId="1E5E25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4" w:hRule="atLeast"/>
          <w:jc w:val="center"/>
        </w:trPr>
        <w:tc>
          <w:tcPr>
            <w:tcW w:w="961" w:type="dxa"/>
            <w:tcBorders>
              <w:left w:val="single" w:color="auto" w:sz="4" w:space="0"/>
              <w:right w:val="single" w:color="auto" w:sz="4" w:space="0"/>
            </w:tcBorders>
            <w:vAlign w:val="center"/>
          </w:tcPr>
          <w:p w14:paraId="7A1B609C">
            <w:pPr>
              <w:pStyle w:val="8"/>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hAnsi="宋体" w:eastAsia="宋体" w:cs="宋体"/>
                <w:color w:val="000000" w:themeColor="text1"/>
                <w:sz w:val="21"/>
                <w:szCs w:val="21"/>
                <w:highlight w:val="none"/>
                <w:lang w:eastAsia="zh-CN"/>
                <w14:textFill>
                  <w14:solidFill>
                    <w14:schemeClr w14:val="tx1"/>
                  </w14:solidFill>
                </w14:textFill>
              </w:rPr>
              <w:t>一</w:t>
            </w:r>
          </w:p>
        </w:tc>
        <w:tc>
          <w:tcPr>
            <w:tcW w:w="3763" w:type="dxa"/>
            <w:tcBorders>
              <w:top w:val="single" w:color="auto" w:sz="4" w:space="0"/>
              <w:left w:val="single" w:color="auto" w:sz="4" w:space="0"/>
              <w:right w:val="single" w:color="auto" w:sz="4" w:space="0"/>
            </w:tcBorders>
            <w:vAlign w:val="center"/>
          </w:tcPr>
          <w:p w14:paraId="0FDC3F96">
            <w:pPr>
              <w:pStyle w:val="8"/>
              <w:jc w:val="center"/>
              <w:rPr>
                <w:rFonts w:hint="eastAsia"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一年期社保资金定期存款利率</w:t>
            </w:r>
          </w:p>
        </w:tc>
        <w:tc>
          <w:tcPr>
            <w:tcW w:w="4214" w:type="dxa"/>
            <w:tcBorders>
              <w:top w:val="single" w:color="auto" w:sz="4" w:space="0"/>
              <w:left w:val="single" w:color="auto" w:sz="4" w:space="0"/>
              <w:bottom w:val="single" w:color="auto" w:sz="4" w:space="0"/>
              <w:right w:val="single" w:color="auto" w:sz="8" w:space="0"/>
            </w:tcBorders>
            <w:vAlign w:val="center"/>
          </w:tcPr>
          <w:p w14:paraId="222CED5D">
            <w:pPr>
              <w:pStyle w:val="8"/>
              <w:jc w:val="center"/>
              <w:rPr>
                <w:rFonts w:hint="eastAsia" w:hAnsi="宋体" w:eastAsia="宋体" w:cs="宋体"/>
                <w:color w:val="000000" w:themeColor="text1"/>
                <w:sz w:val="21"/>
                <w:szCs w:val="21"/>
                <w:highlight w:val="none"/>
                <w:lang w:val="en-US" w:eastAsia="zh-CN"/>
                <w14:textFill>
                  <w14:solidFill>
                    <w14:schemeClr w14:val="tx1"/>
                  </w14:solidFill>
                </w14:textFill>
              </w:rPr>
            </w:pP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r w14:paraId="736190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9"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14:paraId="72754CC4">
            <w:pPr>
              <w:pStyle w:val="8"/>
              <w:jc w:val="center"/>
              <w:rPr>
                <w:rFonts w:hint="default" w:hAnsi="宋体" w:eastAsia="宋体" w:cs="宋体"/>
                <w:color w:val="000000" w:themeColor="text1"/>
                <w:sz w:val="21"/>
                <w:szCs w:val="21"/>
                <w:highlight w:val="none"/>
                <w:lang w:val="en-US" w:eastAsia="zh-CN"/>
                <w14:textFill>
                  <w14:solidFill>
                    <w14:schemeClr w14:val="tx1"/>
                  </w14:solidFill>
                </w14:textFill>
              </w:rPr>
            </w:pPr>
            <w:r>
              <w:rPr>
                <w:rFonts w:hint="eastAsia" w:hAnsi="宋体" w:cs="宋体"/>
                <w:color w:val="000000" w:themeColor="text1"/>
                <w:sz w:val="21"/>
                <w:szCs w:val="21"/>
                <w:highlight w:val="none"/>
                <w:lang w:val="en-US" w:eastAsia="zh-CN"/>
                <w14:textFill>
                  <w14:solidFill>
                    <w14:schemeClr w14:val="tx1"/>
                  </w14:solidFill>
                </w14:textFill>
              </w:rPr>
              <w:t>二</w:t>
            </w:r>
          </w:p>
        </w:tc>
        <w:tc>
          <w:tcPr>
            <w:tcW w:w="3763" w:type="dxa"/>
            <w:tcBorders>
              <w:top w:val="single" w:color="auto" w:sz="4" w:space="0"/>
              <w:left w:val="single" w:color="auto" w:sz="4" w:space="0"/>
              <w:bottom w:val="single" w:color="auto" w:sz="4" w:space="0"/>
              <w:right w:val="single" w:color="auto" w:sz="4" w:space="0"/>
            </w:tcBorders>
            <w:vAlign w:val="center"/>
          </w:tcPr>
          <w:p w14:paraId="70C5276E">
            <w:pPr>
              <w:pStyle w:val="8"/>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半年期社保资金定期存款利率</w:t>
            </w:r>
          </w:p>
        </w:tc>
        <w:tc>
          <w:tcPr>
            <w:tcW w:w="4214" w:type="dxa"/>
            <w:tcBorders>
              <w:top w:val="single" w:color="auto" w:sz="4" w:space="0"/>
              <w:left w:val="single" w:color="auto" w:sz="4" w:space="0"/>
              <w:bottom w:val="single" w:color="auto" w:sz="4" w:space="0"/>
              <w:right w:val="single" w:color="auto" w:sz="4" w:space="0"/>
            </w:tcBorders>
            <w:vAlign w:val="center"/>
          </w:tcPr>
          <w:p w14:paraId="5670A062">
            <w:pPr>
              <w:pStyle w:val="8"/>
              <w:jc w:val="center"/>
              <w:rPr>
                <w:rFonts w:hint="eastAsia" w:hAnsi="宋体" w:eastAsia="宋体" w:cs="宋体"/>
                <w:color w:val="000000" w:themeColor="text1"/>
                <w:sz w:val="21"/>
                <w:szCs w:val="21"/>
                <w:highlight w:val="none"/>
                <w:u w:val="single"/>
                <w:lang w:val="en-US" w:eastAsia="zh-CN"/>
                <w14:textFill>
                  <w14:solidFill>
                    <w14:schemeClr w14:val="tx1"/>
                  </w14:solidFill>
                </w14:textFill>
              </w:rPr>
            </w:pPr>
            <w:r>
              <w:rPr>
                <w:rFonts w:hint="eastAsia"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p>
        </w:tc>
      </w:tr>
    </w:tbl>
    <w:p w14:paraId="2C8B9640">
      <w:pPr>
        <w:pStyle w:val="8"/>
        <w:rPr>
          <w:rFonts w:hint="eastAsia" w:ascii="宋体" w:hAnsi="宋体" w:eastAsia="宋体" w:cs="宋体"/>
          <w:color w:val="000000" w:themeColor="text1"/>
          <w:szCs w:val="21"/>
          <w:highlight w:val="none"/>
          <w14:textFill>
            <w14:solidFill>
              <w14:schemeClr w14:val="tx1"/>
            </w14:solidFill>
          </w14:textFill>
        </w:rPr>
      </w:pPr>
    </w:p>
    <w:p w14:paraId="10B3195A">
      <w:pPr>
        <w:pStyle w:val="6"/>
        <w:rPr>
          <w:rFonts w:hint="eastAsia"/>
          <w:color w:val="000000" w:themeColor="text1"/>
          <w:highlight w:val="none"/>
          <w14:textFill>
            <w14:solidFill>
              <w14:schemeClr w14:val="tx1"/>
            </w14:solidFill>
          </w14:textFill>
        </w:rPr>
      </w:pPr>
    </w:p>
    <w:p w14:paraId="74D628FC">
      <w:pPr>
        <w:rPr>
          <w:rFonts w:hint="eastAsia" w:ascii="宋体" w:hAnsi="宋体" w:eastAsia="宋体" w:cs="宋体"/>
          <w:color w:val="000000" w:themeColor="text1"/>
          <w:szCs w:val="21"/>
          <w:highlight w:val="none"/>
          <w14:textFill>
            <w14:solidFill>
              <w14:schemeClr w14:val="tx1"/>
            </w14:solidFill>
          </w14:textFill>
        </w:rPr>
      </w:pPr>
    </w:p>
    <w:p w14:paraId="76175CA7">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投标人名称（盖章） ：</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3338CC77">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   年   月   日</w:t>
      </w:r>
    </w:p>
    <w:bookmarkEnd w:id="88"/>
    <w:bookmarkEnd w:id="89"/>
    <w:bookmarkEnd w:id="90"/>
    <w:bookmarkEnd w:id="91"/>
    <w:bookmarkEnd w:id="92"/>
    <w:bookmarkEnd w:id="93"/>
    <w:bookmarkEnd w:id="94"/>
    <w:p w14:paraId="43935FBF">
      <w:pPr>
        <w:pStyle w:val="28"/>
        <w:widowControl w:val="0"/>
        <w:snapToGrid w:val="0"/>
        <w:spacing w:line="440" w:lineRule="exact"/>
        <w:jc w:val="both"/>
        <w:rPr>
          <w:b/>
          <w:bCs/>
          <w:color w:val="000000" w:themeColor="text1"/>
          <w:highlight w:val="none"/>
          <w14:textFill>
            <w14:solidFill>
              <w14:schemeClr w14:val="tx1"/>
            </w14:solidFill>
          </w14:textFill>
        </w:rPr>
      </w:pPr>
    </w:p>
    <w:p w14:paraId="6748BCA6">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2F208C28">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2325D6E9">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6A6FC6E3">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683770F0">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4DA2904A">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7181C06C">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1E26CF85">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12AEBFF9">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7A9E3F80">
      <w:pPr>
        <w:spacing w:line="600" w:lineRule="exact"/>
        <w:jc w:val="left"/>
        <w:rPr>
          <w:rStyle w:val="25"/>
          <w:rFonts w:hint="eastAsia" w:ascii="宋体" w:hAnsi="宋体" w:eastAsia="宋体" w:cs="宋体"/>
          <w:b/>
          <w:bCs w:val="0"/>
          <w:color w:val="000000" w:themeColor="text1"/>
          <w:sz w:val="24"/>
          <w:szCs w:val="24"/>
          <w:highlight w:val="none"/>
          <w14:textFill>
            <w14:solidFill>
              <w14:schemeClr w14:val="tx1"/>
            </w14:solidFill>
          </w14:textFill>
        </w:rPr>
      </w:pPr>
    </w:p>
    <w:p w14:paraId="4D4E0BA5">
      <w:pPr>
        <w:spacing w:line="600" w:lineRule="exact"/>
        <w:jc w:val="left"/>
        <w:rPr>
          <w:rStyle w:val="25"/>
          <w:rFonts w:hint="default" w:ascii="宋体" w:hAnsi="宋体" w:eastAsia="宋体" w:cs="宋体"/>
          <w:b/>
          <w:bCs w:val="0"/>
          <w:color w:val="000000" w:themeColor="text1"/>
          <w:sz w:val="24"/>
          <w:szCs w:val="24"/>
          <w:highlight w:val="none"/>
          <w:lang w:val="en-US"/>
          <w14:textFill>
            <w14:solidFill>
              <w14:schemeClr w14:val="tx1"/>
            </w14:solidFill>
          </w14:textFill>
        </w:rPr>
      </w:pPr>
      <w:r>
        <w:rPr>
          <w:rStyle w:val="25"/>
          <w:rFonts w:hint="eastAsia" w:ascii="宋体" w:hAnsi="宋体" w:eastAsia="宋体" w:cs="宋体"/>
          <w:b/>
          <w:bCs w:val="0"/>
          <w:color w:val="000000" w:themeColor="text1"/>
          <w:sz w:val="24"/>
          <w:szCs w:val="24"/>
          <w:highlight w:val="none"/>
          <w14:textFill>
            <w14:solidFill>
              <w14:schemeClr w14:val="tx1"/>
            </w14:solidFill>
          </w14:textFill>
        </w:rPr>
        <w:t>附件</w:t>
      </w:r>
      <w:r>
        <w:rPr>
          <w:rStyle w:val="25"/>
          <w:rFonts w:hint="eastAsia" w:ascii="宋体" w:hAnsi="宋体" w:cs="宋体"/>
          <w:b/>
          <w:bCs w:val="0"/>
          <w:color w:val="000000" w:themeColor="text1"/>
          <w:sz w:val="24"/>
          <w:szCs w:val="24"/>
          <w:highlight w:val="none"/>
          <w:lang w:val="en-US"/>
          <w14:textFill>
            <w14:solidFill>
              <w14:schemeClr w14:val="tx1"/>
            </w14:solidFill>
          </w14:textFill>
        </w:rPr>
        <w:t>6</w:t>
      </w:r>
    </w:p>
    <w:p w14:paraId="38E8DED8">
      <w:pPr>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p>
    <w:p w14:paraId="29DE8174">
      <w:pPr>
        <w:jc w:val="center"/>
        <w:rPr>
          <w:rFonts w:hint="eastAsia" w:ascii="宋体" w:hAnsi="宋体" w:eastAsia="宋体" w:cs="宋体"/>
          <w:b/>
          <w:bCs/>
          <w:color w:val="000000" w:themeColor="text1"/>
          <w:sz w:val="28"/>
          <w:szCs w:val="28"/>
          <w:highlight w:val="none"/>
          <w:lang w:eastAsia="zh-CN"/>
          <w14:textFill>
            <w14:solidFill>
              <w14:schemeClr w14:val="tx1"/>
            </w14:solidFill>
          </w14:textFill>
        </w:rPr>
      </w:pPr>
      <w:r>
        <w:rPr>
          <w:rFonts w:hint="eastAsia" w:ascii="宋体" w:hAnsi="宋体" w:eastAsia="宋体" w:cs="宋体"/>
          <w:b/>
          <w:bCs/>
          <w:color w:val="000000" w:themeColor="text1"/>
          <w:sz w:val="28"/>
          <w:szCs w:val="28"/>
          <w:highlight w:val="none"/>
          <w:lang w:eastAsia="zh-CN"/>
          <w14:textFill>
            <w14:solidFill>
              <w14:schemeClr w14:val="tx1"/>
            </w14:solidFill>
          </w14:textFill>
        </w:rPr>
        <w:t>资金安全担保函</w:t>
      </w:r>
      <w:r>
        <w:rPr>
          <w:rFonts w:hint="eastAsia" w:ascii="宋体" w:hAnsi="宋体" w:cs="宋体"/>
          <w:b/>
          <w:bCs/>
          <w:color w:val="000000" w:themeColor="text1"/>
          <w:sz w:val="28"/>
          <w:szCs w:val="28"/>
          <w:highlight w:val="none"/>
          <w:lang w:eastAsia="zh-CN"/>
          <w14:textFill>
            <w14:solidFill>
              <w14:schemeClr w14:val="tx1"/>
            </w14:solidFill>
          </w14:textFill>
        </w:rPr>
        <w:t>（供参考）</w:t>
      </w:r>
    </w:p>
    <w:p w14:paraId="187909B4">
      <w:pPr>
        <w:pStyle w:val="6"/>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常山县财政局：</w:t>
      </w:r>
    </w:p>
    <w:p w14:paraId="2E6D717F">
      <w:pPr>
        <w:ind w:firstLine="420" w:firstLineChars="200"/>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我行承诺，对划入我行常山县分支机构的202</w:t>
      </w:r>
      <w:r>
        <w:rPr>
          <w:rFonts w:hint="eastAsia" w:ascii="宋体" w:hAnsi="宋体" w:cs="宋体"/>
          <w:bCs/>
          <w:color w:val="000000" w:themeColor="text1"/>
          <w:kern w:val="0"/>
          <w:sz w:val="21"/>
          <w:szCs w:val="21"/>
          <w:highlight w:val="none"/>
          <w:lang w:val="en-US" w:eastAsia="zh-CN" w:bidi="ar-SA"/>
          <w14:textFill>
            <w14:solidFill>
              <w14:schemeClr w14:val="tx1"/>
            </w14:solidFill>
          </w14:textFill>
        </w:rPr>
        <w:t>5</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年</w:t>
      </w:r>
      <w:r>
        <w:rPr>
          <w:rFonts w:hint="eastAsia" w:ascii="宋体" w:hAnsi="宋体" w:cs="宋体"/>
          <w:bCs/>
          <w:color w:val="000000" w:themeColor="text1"/>
          <w:kern w:val="0"/>
          <w:sz w:val="21"/>
          <w:szCs w:val="21"/>
          <w:highlight w:val="none"/>
          <w:lang w:val="en-US" w:eastAsia="zh-CN" w:bidi="ar-SA"/>
          <w14:textFill>
            <w14:solidFill>
              <w14:schemeClr w14:val="tx1"/>
            </w14:solidFill>
          </w14:textFill>
        </w:rPr>
        <w:t>度</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第</w:t>
      </w:r>
      <w:r>
        <w:rPr>
          <w:rFonts w:hint="eastAsia" w:ascii="宋体" w:hAnsi="宋体" w:cs="宋体"/>
          <w:bCs/>
          <w:color w:val="000000" w:themeColor="text1"/>
          <w:kern w:val="0"/>
          <w:sz w:val="21"/>
          <w:szCs w:val="21"/>
          <w:highlight w:val="none"/>
          <w:lang w:val="en-US" w:eastAsia="zh-CN" w:bidi="ar-SA"/>
          <w14:textFill>
            <w14:solidFill>
              <w14:schemeClr w14:val="tx1"/>
            </w14:solidFill>
          </w14:textFill>
        </w:rPr>
        <w:t>二</w:t>
      </w: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期竞争性存放财政资金及原有的定期存款资金提供安全担保，并承诺与常山县支行共同承担担保资金到期兑付本息的责任。担保时间从资金划转至我行账户时生效，资金划出我行账户后失效。</w:t>
      </w:r>
    </w:p>
    <w:p w14:paraId="6AD5DE05">
      <w:pPr>
        <w:pStyle w:val="6"/>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p w14:paraId="6D5A53FC">
      <w:pP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p w14:paraId="13B778BF">
      <w:pPr>
        <w:pStyle w:val="6"/>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p>
    <w:p w14:paraId="16E6743A">
      <w:pPr>
        <w:pStyle w:val="6"/>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 xml:space="preserve">                                        担保单位（盖章）</w:t>
      </w:r>
    </w:p>
    <w:p w14:paraId="3FB23A2D">
      <w:pPr>
        <w:pStyle w:val="6"/>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 xml:space="preserve">                                        法定代表人（负责人）：</w:t>
      </w:r>
    </w:p>
    <w:p w14:paraId="60681A3E">
      <w:pPr>
        <w:pStyle w:val="6"/>
        <w:rPr>
          <w:rFonts w:hint="default" w:ascii="宋体" w:hAnsi="宋体" w:eastAsia="宋体" w:cs="宋体"/>
          <w:bCs/>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SA"/>
          <w14:textFill>
            <w14:solidFill>
              <w14:schemeClr w14:val="tx1"/>
            </w14:solidFill>
          </w14:textFill>
        </w:rPr>
        <w:t xml:space="preserve">                                       承诺时间：2025年  月   日</w:t>
      </w:r>
    </w:p>
    <w:p w14:paraId="075C040B">
      <w:pPr>
        <w:pStyle w:val="8"/>
        <w:spacing w:line="360" w:lineRule="auto"/>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7104F22B">
      <w:pPr>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61BE16E7">
      <w:pPr>
        <w:pStyle w:val="6"/>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6B738E84">
      <w:pPr>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14245CA4">
      <w:pPr>
        <w:pStyle w:val="6"/>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27C04498">
      <w:pPr>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721EA5EF">
      <w:pPr>
        <w:pStyle w:val="6"/>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55879FDE">
      <w:pPr>
        <w:rPr>
          <w:rFonts w:hint="eastAsia" w:ascii="宋体" w:hAnsi="宋体" w:eastAsia="宋体" w:cs="宋体"/>
          <w:b/>
          <w:bCs/>
          <w:color w:val="000000" w:themeColor="text1"/>
          <w:sz w:val="24"/>
          <w:szCs w:val="24"/>
          <w:highlight w:val="none"/>
          <w:lang w:eastAsia="zh-CN"/>
          <w14:textFill>
            <w14:solidFill>
              <w14:schemeClr w14:val="tx1"/>
            </w14:solidFill>
          </w14:textFill>
        </w:rPr>
      </w:pPr>
    </w:p>
    <w:p w14:paraId="22C63143">
      <w:pPr>
        <w:rPr>
          <w:rFonts w:hint="default" w:ascii="宋体" w:hAnsi="宋体" w:eastAsia="宋体" w:cs="宋体"/>
          <w:bCs/>
          <w:color w:val="000000" w:themeColor="text1"/>
          <w:kern w:val="0"/>
          <w:sz w:val="21"/>
          <w:szCs w:val="21"/>
          <w:highlight w:val="none"/>
          <w:lang w:val="en-US" w:eastAsia="zh-CN" w:bidi="ar-SA"/>
          <w14:textFill>
            <w14:solidFill>
              <w14:schemeClr w14:val="tx1"/>
            </w14:solidFill>
          </w14:textFill>
        </w:rPr>
      </w:pPr>
    </w:p>
    <w:sectPr>
      <w:footerReference r:id="rId8" w:type="first"/>
      <w:footerReference r:id="rId7" w:type="default"/>
      <w:pgSz w:w="11907" w:h="16840"/>
      <w:pgMar w:top="1276" w:right="893" w:bottom="1134" w:left="1134" w:header="720" w:footer="873" w:gutter="0"/>
      <w:pgNumType w:start="2"/>
      <w:cols w:space="720" w:num="1"/>
      <w:docGrid w:type="linesAndChars"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000020204"/>
    <w:charset w:val="00"/>
    <w:family w:val="swiss"/>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站酷快乐体">
    <w:altName w:val="新宋体"/>
    <w:panose1 w:val="02010600030000010101"/>
    <w:charset w:val="00"/>
    <w:family w:val="auto"/>
    <w:pitch w:val="default"/>
    <w:sig w:usb0="00000000" w:usb1="00000000" w:usb2="00000000"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5AB33">
    <w:pPr>
      <w:pStyle w:val="9"/>
      <w:jc w:val="center"/>
      <w:rPr>
        <w:rFonts w:eastAsia="仿宋_GB2312"/>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703E">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1"/>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312E9497">
                          <w:pPr>
                            <w:pStyle w:val="9"/>
                            <w:jc w:val="center"/>
                          </w:pPr>
                        </w:p>
                      </w:txbxContent>
                    </wps:txbx>
                    <wps:bodyPr wrap="none" lIns="0" tIns="0" rIns="0" bIns="0" upright="0">
                      <a:spAutoFit/>
                    </wps:bodyPr>
                  </wps:wsp>
                </a:graphicData>
              </a:graphic>
            </wp:anchor>
          </w:drawing>
        </mc:Choice>
        <mc:Fallback>
          <w:pict>
            <v:rect id="文本框 1"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NL/SwtAAAAADAQAADwAAAAAAAAABACAAAAAiAAAAZHJzL2Rvd25yZXYueG1s&#10;UEsBAhQAFAAAAAgAh07iQOKg71THAQAAhQMAAA4AAAAAAAAAAQAgAAAAHwEAAGRycy9lMm9Eb2Mu&#10;eG1sUEsFBgAAAAAGAAYAWQEAAFgFAAAAAA==&#10;">
              <v:fill on="f" focussize="0,0"/>
              <v:stroke on="f"/>
              <v:imagedata o:title=""/>
              <o:lock v:ext="edit" aspectratio="f"/>
              <v:textbox inset="0mm,0mm,0mm,0mm" style="mso-fit-shape-to-text:t;">
                <w:txbxContent>
                  <w:p w14:paraId="312E9497">
                    <w:pPr>
                      <w:pStyle w:val="9"/>
                      <w:jc w:val="center"/>
                    </w:pPr>
                  </w:p>
                </w:txbxContent>
              </v:textbox>
            </v:rect>
          </w:pict>
        </mc:Fallback>
      </mc:AlternateContent>
    </w:r>
  </w:p>
  <w:p w14:paraId="0AB9FC6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608E">
    <w:pPr>
      <w:pStyle w:val="9"/>
      <w:jc w:val="center"/>
      <w:rPr>
        <w:rFonts w:eastAsia="仿宋_GB2312"/>
        <w:sz w:val="24"/>
      </w:rPr>
    </w:pPr>
    <w:r>
      <w:rPr>
        <w:sz w:val="24"/>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33985" cy="153035"/>
              <wp:effectExtent l="0" t="0" r="0" b="0"/>
              <wp:wrapNone/>
              <wp:docPr id="4098" name="文本框 5"/>
              <wp:cNvGraphicFramePr/>
              <a:graphic xmlns:a="http://schemas.openxmlformats.org/drawingml/2006/main">
                <a:graphicData uri="http://schemas.microsoft.com/office/word/2010/wordprocessingShape">
                  <wps:wsp>
                    <wps:cNvSpPr/>
                    <wps:spPr>
                      <a:xfrm>
                        <a:off x="0" y="0"/>
                        <a:ext cx="133985" cy="153035"/>
                      </a:xfrm>
                      <a:prstGeom prst="rect">
                        <a:avLst/>
                      </a:prstGeom>
                      <a:ln>
                        <a:noFill/>
                      </a:ln>
                    </wps:spPr>
                    <wps:txbx>
                      <w:txbxContent>
                        <w:p w14:paraId="0C2225A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69</w:t>
                          </w:r>
                          <w:r>
                            <w:rPr>
                              <w:rFonts w:hint="eastAsia"/>
                              <w:sz w:val="18"/>
                            </w:rPr>
                            <w:fldChar w:fldCharType="end"/>
                          </w:r>
                        </w:p>
                      </w:txbxContent>
                    </wps:txbx>
                    <wps:bodyPr wrap="none" lIns="0" tIns="0" rIns="0" bIns="0" upright="0">
                      <a:spAutoFit/>
                    </wps:bodyPr>
                  </wps:wsp>
                </a:graphicData>
              </a:graphic>
            </wp:anchor>
          </w:drawing>
        </mc:Choice>
        <mc:Fallback>
          <w:pict>
            <v:rect id="文本框 5" o:spid="_x0000_s1026" o:spt="1" style="position:absolute;left:0pt;margin-top:0pt;height:12.05pt;width:10.55pt;mso-position-horizontal:center;mso-position-horizontal-relative:margin;mso-wrap-style:none;z-index:251659264;mso-width-relative:page;mso-height-relative:page;" filled="f" stroked="f" coordsize="21600,21600" o:gfxdata="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nIfG40QAAAAMBAAAPAAAAAAAAAAEAIAAAACIAAABkcnMvZG93bnJldi54&#10;bWxQSwECFAAUAAAACACHTuJAj6feF8gBAACFAwAADgAAAAAAAAABACAAAAAgAQAAZHJzL2Uyb0Rv&#10;Yy54bWxQSwUGAAAAAAYABgBZAQAAWgUAAAAA&#10;">
              <v:fill on="f" focussize="0,0"/>
              <v:stroke on="f"/>
              <v:imagedata o:title=""/>
              <o:lock v:ext="edit" aspectratio="f"/>
              <v:textbox inset="0mm,0mm,0mm,0mm" style="mso-fit-shape-to-text:t;">
                <w:txbxContent>
                  <w:p w14:paraId="0C2225AA">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69</w:t>
                    </w:r>
                    <w:r>
                      <w:rPr>
                        <w:rFonts w:hint="eastAsia"/>
                        <w:sz w:val="18"/>
                      </w:rP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67593">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9" name="文本框 2"/>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4FB0A64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128</w:t>
                          </w:r>
                          <w:r>
                            <w:rPr>
                              <w:rFonts w:hint="eastAsia"/>
                            </w:rP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v9LC0AAAAAMBAAAPAAAAAAAAAAEAIAAAACIAAABkcnMvZG93bnJldi54bWxQ&#10;SwECFAAUAAAACACHTuJAIFvtyMYBAACFAwAADgAAAAAAAAABACAAAAAfAQAAZHJzL2Uyb0RvYy54&#10;bWxQSwUGAAAAAAYABgBZAQAAVwUAAAAA&#10;">
              <v:fill on="f" focussize="0,0"/>
              <v:stroke on="f"/>
              <v:imagedata o:title=""/>
              <o:lock v:ext="edit" aspectratio="f"/>
              <v:textbox inset="0mm,0mm,0mm,0mm" style="mso-fit-shape-to-text:t;">
                <w:txbxContent>
                  <w:p w14:paraId="4FB0A646">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128</w:t>
                    </w:r>
                    <w:r>
                      <w:rPr>
                        <w:rFonts w:hint="eastAsia"/>
                      </w:rP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100" name="文本框 3"/>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59C3F25D">
                          <w:pPr>
                            <w:pStyle w:val="9"/>
                            <w:jc w:val="center"/>
                          </w:pPr>
                        </w:p>
                      </w:txbxContent>
                    </wps:txbx>
                    <wps:bodyPr wrap="none" lIns="0" tIns="0" rIns="0" bIns="0" upright="0">
                      <a:spAutoFit/>
                    </wps:bodyPr>
                  </wps:wsp>
                </a:graphicData>
              </a:graphic>
            </wp:anchor>
          </w:drawing>
        </mc:Choice>
        <mc:Fallback>
          <w:pict>
            <v:rect id="文本框 3"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0v9LC0AAAAAMBAAAPAAAAAAAAAAEAIAAAACIAAABkcnMvZG93bnJldi54bWxQ&#10;SwECFAAUAAAACACHTuJAiDZgqMYBAACFAwAADgAAAAAAAAABACAAAAAfAQAAZHJzL2Uyb0RvYy54&#10;bWxQSwUGAAAAAAYABgBZAQAAVwUAAAAA&#10;">
              <v:fill on="f" focussize="0,0"/>
              <v:stroke on="f"/>
              <v:imagedata o:title=""/>
              <o:lock v:ext="edit" aspectratio="f"/>
              <v:textbox inset="0mm,0mm,0mm,0mm" style="mso-fit-shape-to-text:t;">
                <w:txbxContent>
                  <w:p w14:paraId="59C3F25D">
                    <w:pPr>
                      <w:pStyle w:val="9"/>
                      <w:jc w:val="cente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E87AF">
    <w:pPr>
      <w:pStyle w:val="10"/>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82DD6">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rPr>
        <w:rFonts w:hint="eastAsia"/>
      </w:rPr>
    </w:lvl>
  </w:abstractNum>
  <w:abstractNum w:abstractNumId="1">
    <w:nsid w:val="2D540CE9"/>
    <w:multiLevelType w:val="singleLevel"/>
    <w:tmpl w:val="2D540CE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mOWYzN2E0NTkzNmI1MmVmZTdhNzBhNTBmMzM2ZWUifQ=="/>
  </w:docVars>
  <w:rsids>
    <w:rsidRoot w:val="00000000"/>
    <w:rsid w:val="054E7D2A"/>
    <w:rsid w:val="066F23DD"/>
    <w:rsid w:val="067C15A6"/>
    <w:rsid w:val="06C11EF5"/>
    <w:rsid w:val="09D90C3C"/>
    <w:rsid w:val="0A7D74A4"/>
    <w:rsid w:val="0EC7786E"/>
    <w:rsid w:val="170867EA"/>
    <w:rsid w:val="18CB43A7"/>
    <w:rsid w:val="1C8F5EC5"/>
    <w:rsid w:val="1DAD6772"/>
    <w:rsid w:val="1DD87847"/>
    <w:rsid w:val="1FEC0F2D"/>
    <w:rsid w:val="209249D8"/>
    <w:rsid w:val="21E422EC"/>
    <w:rsid w:val="22861F68"/>
    <w:rsid w:val="23362D65"/>
    <w:rsid w:val="237D2742"/>
    <w:rsid w:val="24E66E6D"/>
    <w:rsid w:val="2830377D"/>
    <w:rsid w:val="29252190"/>
    <w:rsid w:val="2BE75544"/>
    <w:rsid w:val="2C620A7A"/>
    <w:rsid w:val="31B92EF6"/>
    <w:rsid w:val="32F1407E"/>
    <w:rsid w:val="331210F9"/>
    <w:rsid w:val="3526087B"/>
    <w:rsid w:val="36056C4E"/>
    <w:rsid w:val="367C4ADB"/>
    <w:rsid w:val="379A637D"/>
    <w:rsid w:val="3B2C4772"/>
    <w:rsid w:val="3C505CF2"/>
    <w:rsid w:val="3DEB64A6"/>
    <w:rsid w:val="3EB44C95"/>
    <w:rsid w:val="40582115"/>
    <w:rsid w:val="410C2859"/>
    <w:rsid w:val="414D564E"/>
    <w:rsid w:val="41AD2B85"/>
    <w:rsid w:val="42401DA4"/>
    <w:rsid w:val="44652068"/>
    <w:rsid w:val="45E86F41"/>
    <w:rsid w:val="47764D20"/>
    <w:rsid w:val="47F003BD"/>
    <w:rsid w:val="4AAA68CA"/>
    <w:rsid w:val="4C4F1861"/>
    <w:rsid w:val="4F9C11AB"/>
    <w:rsid w:val="505B1D4F"/>
    <w:rsid w:val="50BD1CAC"/>
    <w:rsid w:val="530B57A2"/>
    <w:rsid w:val="563D1CAF"/>
    <w:rsid w:val="566D0CE8"/>
    <w:rsid w:val="5AFC2478"/>
    <w:rsid w:val="5ED36F78"/>
    <w:rsid w:val="627F36F2"/>
    <w:rsid w:val="633826BD"/>
    <w:rsid w:val="66F2031E"/>
    <w:rsid w:val="69966340"/>
    <w:rsid w:val="6A6E4160"/>
    <w:rsid w:val="6A9D2DD2"/>
    <w:rsid w:val="6AC7356B"/>
    <w:rsid w:val="6DC01176"/>
    <w:rsid w:val="6FDB6998"/>
    <w:rsid w:val="6FDC17FB"/>
    <w:rsid w:val="7051284F"/>
    <w:rsid w:val="70C13D5A"/>
    <w:rsid w:val="712B3CB2"/>
    <w:rsid w:val="723810AB"/>
    <w:rsid w:val="73822C3F"/>
    <w:rsid w:val="73BE1A0E"/>
    <w:rsid w:val="772067E2"/>
    <w:rsid w:val="78B14398"/>
    <w:rsid w:val="7A1042F4"/>
    <w:rsid w:val="7A4078C7"/>
    <w:rsid w:val="7D4638A1"/>
    <w:rsid w:val="7F8B44F7"/>
    <w:rsid w:val="7FB12A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6"/>
    <w:basedOn w:val="1"/>
    <w:next w:val="1"/>
    <w:qFormat/>
    <w:uiPriority w:val="0"/>
    <w:pPr>
      <w:keepNext/>
      <w:keepLines/>
      <w:spacing w:line="320" w:lineRule="auto"/>
      <w:outlineLvl w:val="5"/>
    </w:pPr>
    <w:rPr>
      <w:rFonts w:ascii="Arial" w:hAnsi="Arial" w:eastAsia="黑体"/>
      <w:b/>
      <w:bCs/>
      <w:sz w:val="24"/>
    </w:rPr>
  </w:style>
  <w:style w:type="character" w:default="1" w:styleId="17">
    <w:name w:val="Default Paragraph Font"/>
    <w:qFormat/>
    <w:uiPriority w:val="0"/>
  </w:style>
  <w:style w:type="table" w:default="1" w:styleId="15">
    <w:name w:val="Normal Table"/>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szCs w:val="22"/>
    </w:rPr>
  </w:style>
  <w:style w:type="paragraph" w:styleId="7">
    <w:name w:val="Body Text Indent"/>
    <w:basedOn w:val="1"/>
    <w:next w:val="1"/>
    <w:qFormat/>
    <w:uiPriority w:val="99"/>
    <w:pPr>
      <w:tabs>
        <w:tab w:val="left" w:pos="900"/>
      </w:tabs>
      <w:autoSpaceDE w:val="0"/>
      <w:autoSpaceDN w:val="0"/>
      <w:adjustRightInd w:val="0"/>
      <w:spacing w:line="540" w:lineRule="exact"/>
      <w:ind w:firstLine="561"/>
    </w:pPr>
    <w:rPr>
      <w:rFonts w:ascii="仿宋_GB2312" w:eastAsia="仿宋_GB2312"/>
      <w:sz w:val="28"/>
      <w:szCs w:val="28"/>
      <w:lang w:val="zh-CN"/>
    </w:rPr>
  </w:style>
  <w:style w:type="paragraph" w:styleId="8">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Normal (Web)"/>
    <w:basedOn w:val="1"/>
    <w:next w:val="12"/>
    <w:qFormat/>
    <w:uiPriority w:val="0"/>
    <w:pPr>
      <w:widowControl/>
      <w:spacing w:before="100" w:beforeAutospacing="1" w:after="100" w:afterAutospacing="1"/>
      <w:jc w:val="left"/>
    </w:pPr>
    <w:rPr>
      <w:rFonts w:ascii="宋体" w:hAnsi="宋体"/>
      <w:kern w:val="0"/>
      <w:sz w:val="24"/>
    </w:rPr>
  </w:style>
  <w:style w:type="paragraph" w:styleId="14">
    <w:name w:val="Title"/>
    <w:basedOn w:val="1"/>
    <w:next w:val="1"/>
    <w:qFormat/>
    <w:uiPriority w:val="99"/>
    <w:pPr>
      <w:jc w:val="center"/>
    </w:pPr>
    <w:rPr>
      <w:rFonts w:ascii="Arial" w:hAnsi="Arial"/>
      <w:b/>
      <w:kern w:val="0"/>
      <w:sz w:val="36"/>
      <w:szCs w:val="20"/>
      <w:lang w:eastAsia="en-U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99"/>
    <w:rPr>
      <w:color w:val="800080"/>
      <w:u w:val="none"/>
    </w:rPr>
  </w:style>
  <w:style w:type="character" w:styleId="19">
    <w:name w:val="Hyperlink"/>
    <w:basedOn w:val="17"/>
    <w:qFormat/>
    <w:uiPriority w:val="99"/>
    <w:rPr>
      <w:color w:val="0000FF"/>
      <w:u w:val="none"/>
    </w:rPr>
  </w:style>
  <w:style w:type="paragraph" w:customStyle="1" w:styleId="20">
    <w:name w:val="章正文"/>
    <w:basedOn w:val="1"/>
    <w:qFormat/>
    <w:uiPriority w:val="0"/>
    <w:pPr>
      <w:spacing w:before="156" w:beforeLines="50" w:after="120" w:line="300" w:lineRule="auto"/>
      <w:ind w:firstLine="480"/>
    </w:pPr>
    <w:rPr>
      <w:rFonts w:ascii="Helvetica" w:hAnsi="Helvetica"/>
      <w:kern w:val="0"/>
      <w:sz w:val="24"/>
    </w:rPr>
  </w:style>
  <w:style w:type="paragraph" w:customStyle="1" w:styleId="21">
    <w:name w:val="表格文字"/>
    <w:basedOn w:val="1"/>
    <w:next w:val="6"/>
    <w:qFormat/>
    <w:uiPriority w:val="0"/>
    <w:pPr>
      <w:adjustRightInd w:val="0"/>
      <w:spacing w:line="420" w:lineRule="atLeast"/>
      <w:textAlignment w:val="baseline"/>
    </w:pPr>
    <w:rPr>
      <w:szCs w:val="24"/>
    </w:rPr>
  </w:style>
  <w:style w:type="character" w:customStyle="1" w:styleId="22">
    <w:name w:val="NormalCharacter"/>
    <w:qFormat/>
    <w:uiPriority w:val="0"/>
    <w:rPr>
      <w:kern w:val="2"/>
      <w:sz w:val="21"/>
      <w:szCs w:val="24"/>
      <w:lang w:val="en-US" w:eastAsia="zh-CN" w:bidi="ar-SA"/>
    </w:rPr>
  </w:style>
  <w:style w:type="character" w:customStyle="1" w:styleId="23">
    <w:name w:val="标题 1 Char"/>
    <w:link w:val="2"/>
    <w:qFormat/>
    <w:uiPriority w:val="0"/>
    <w:rPr>
      <w:b/>
      <w:bCs/>
      <w:kern w:val="44"/>
      <w:sz w:val="44"/>
      <w:szCs w:val="44"/>
    </w:rPr>
  </w:style>
  <w:style w:type="character" w:customStyle="1" w:styleId="24">
    <w:name w:val="15"/>
    <w:qFormat/>
    <w:uiPriority w:val="0"/>
    <w:rPr>
      <w:rFonts w:hint="default" w:ascii="Times New Roman" w:hAnsi="Times New Roman" w:cs="Times New Roman"/>
      <w:b/>
      <w:bCs/>
      <w:sz w:val="20"/>
      <w:szCs w:val="20"/>
    </w:rPr>
  </w:style>
  <w:style w:type="character" w:customStyle="1" w:styleId="25">
    <w:name w:val="标题 2 Char"/>
    <w:qFormat/>
    <w:uiPriority w:val="0"/>
    <w:rPr>
      <w:rFonts w:ascii="Arial" w:hAnsi="Arial" w:eastAsia="黑体"/>
      <w:b/>
      <w:bCs/>
      <w:kern w:val="2"/>
      <w:sz w:val="32"/>
      <w:szCs w:val="32"/>
      <w:lang w:val="en-US" w:eastAsia="zh-CN" w:bidi="ar-SA"/>
    </w:rPr>
  </w:style>
  <w:style w:type="paragraph" w:customStyle="1" w:styleId="26">
    <w:name w:val="Default Text"/>
    <w:basedOn w:val="1"/>
    <w:qFormat/>
    <w:uiPriority w:val="0"/>
    <w:pPr>
      <w:widowControl/>
      <w:jc w:val="left"/>
    </w:pPr>
    <w:rPr>
      <w:rFonts w:ascii="Tahoma" w:hAnsi="Tahoma" w:eastAsia="仿宋_GB2312" w:cs="Tahoma"/>
      <w:kern w:val="0"/>
      <w:sz w:val="24"/>
      <w:szCs w:val="28"/>
      <w:lang w:eastAsia="en-US"/>
    </w:rPr>
  </w:style>
  <w:style w:type="paragraph" w:customStyle="1" w:styleId="27">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28">
    <w:name w:val="纯文本1"/>
    <w:basedOn w:val="29"/>
    <w:qFormat/>
    <w:uiPriority w:val="99"/>
    <w:pPr>
      <w:widowControl/>
      <w:jc w:val="left"/>
    </w:pPr>
    <w:rPr>
      <w:rFonts w:ascii="宋体" w:hAnsi="Courier New" w:cs="宋体"/>
    </w:rPr>
  </w:style>
  <w:style w:type="paragraph" w:customStyle="1" w:styleId="29">
    <w:name w:val="正文1"/>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13414</Words>
  <Characters>13987</Characters>
  <Paragraphs>614</Paragraphs>
  <TotalTime>20</TotalTime>
  <ScaleCrop>false</ScaleCrop>
  <LinksUpToDate>false</LinksUpToDate>
  <CharactersWithSpaces>15413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2022-08-25T04:20:00Z</dcterms:created>
  <dc:creator>☃︎</dc:creator>
  <cp:lastModifiedBy>Administrator</cp:lastModifiedBy>
  <cp:lastPrinted>2022-09-05T07:03:00Z</cp:lastPrinted>
  <dcterms:modified xsi:type="dcterms:W3CDTF">2025-12-15T08:56:07Z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2882156FFFC4497F9FF4A4F9CAFE9171_13</vt:lpwstr>
  </property>
  <property fmtid="{D5CDD505-2E9C-101B-9397-08002B2CF9AE}" pid="4" name="KSOTemplateDocerSaveRecord">
    <vt:lpwstr>eyJoZGlkIjoiZTEzOTExMGE2NzllYjI3MGUyYjg4NzBlZTBhYjczZDQiLCJ1c2VySWQiOiI3MTAyMzc1ODEifQ==</vt:lpwstr>
  </property>
</Properties>
</file>