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03F8C">
      <w:pPr>
        <w:pStyle w:val="6"/>
        <w:spacing w:line="700" w:lineRule="exact"/>
        <w:outlineLvl w:val="0"/>
        <w:rPr>
          <w:rFonts w:hint="eastAsia" w:ascii="仿宋" w:hAnsi="仿宋" w:eastAsia="仿宋" w:cs="仿宋"/>
          <w:sz w:val="30"/>
          <w:szCs w:val="32"/>
          <w:highlight w:val="none"/>
          <w:lang w:val="zh-CN" w:eastAsia="zh-CN"/>
        </w:rPr>
      </w:pPr>
      <w:r>
        <w:rPr>
          <w:rFonts w:hint="eastAsia" w:ascii="仿宋" w:hAnsi="仿宋" w:eastAsia="仿宋" w:cs="仿宋"/>
          <w:sz w:val="30"/>
          <w:szCs w:val="32"/>
          <w:highlight w:val="none"/>
          <w:lang w:val="zh-CN" w:eastAsia="zh-CN"/>
        </w:rPr>
        <w:t>常山县辉埠镇人民政府2026年第一期公款存放招标项目的</w:t>
      </w:r>
    </w:p>
    <w:p w14:paraId="33CBC6E0">
      <w:pPr>
        <w:pStyle w:val="6"/>
        <w:spacing w:line="700" w:lineRule="exact"/>
        <w:outlineLvl w:val="0"/>
        <w:rPr>
          <w:rFonts w:hint="eastAsia" w:ascii="仿宋" w:hAnsi="仿宋" w:eastAsia="仿宋" w:cs="仿宋"/>
          <w:sz w:val="30"/>
          <w:szCs w:val="32"/>
          <w:highlight w:val="none"/>
          <w:lang w:val="zh-CN" w:eastAsia="zh-CN"/>
        </w:rPr>
      </w:pPr>
      <w:r>
        <w:rPr>
          <w:rFonts w:hint="eastAsia" w:ascii="仿宋" w:hAnsi="仿宋" w:eastAsia="仿宋" w:cs="仿宋"/>
          <w:sz w:val="30"/>
          <w:szCs w:val="32"/>
          <w:highlight w:val="none"/>
          <w:lang w:val="zh-CN" w:eastAsia="zh-CN"/>
        </w:rPr>
        <w:t>招标公告</w:t>
      </w:r>
    </w:p>
    <w:p w14:paraId="59C7A47E">
      <w:pPr>
        <w:rPr>
          <w:rFonts w:hint="eastAsia"/>
          <w:lang w:val="zh-CN" w:eastAsia="zh-CN"/>
        </w:rPr>
      </w:pPr>
    </w:p>
    <w:p w14:paraId="1C213FE5">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sz w:val="21"/>
          <w:szCs w:val="21"/>
          <w:highlight w:val="none"/>
          <w:lang w:eastAsia="zh-CN"/>
        </w:rPr>
        <w:t>根据《关于防止领导干部在公款存放方面发生利益冲突和利益输送的办法》(浙委办发〔2015〕</w:t>
      </w:r>
      <w:r>
        <w:rPr>
          <w:rFonts w:hint="eastAsia" w:ascii="仿宋" w:hAnsi="仿宋" w:eastAsia="仿宋" w:cs="仿宋"/>
          <w:color w:val="auto"/>
          <w:sz w:val="21"/>
          <w:szCs w:val="21"/>
          <w:highlight w:val="none"/>
          <w:lang w:eastAsia="zh-CN"/>
        </w:rPr>
        <w:t>8号)、《常山县行政事业单位公款竞争性存放管理办法》的通知(常财预执〔20</w:t>
      </w:r>
      <w:r>
        <w:rPr>
          <w:rFonts w:hint="eastAsia" w:ascii="仿宋" w:hAnsi="仿宋" w:eastAsia="仿宋" w:cs="仿宋"/>
          <w:color w:val="auto"/>
          <w:sz w:val="21"/>
          <w:szCs w:val="21"/>
          <w:highlight w:val="none"/>
          <w:lang w:val="en-US" w:eastAsia="zh-CN"/>
        </w:rPr>
        <w:t>22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号）规定，决定开展公款存放招标工作，欢迎符合条件的银行机构参加投标。</w:t>
      </w:r>
    </w:p>
    <w:p w14:paraId="4A1E742E">
      <w:pPr>
        <w:pageBreakBefore w:val="0"/>
        <w:numPr>
          <w:ilvl w:val="0"/>
          <w:numId w:val="1"/>
        </w:numPr>
        <w:kinsoku/>
        <w:topLinePunct w:val="0"/>
        <w:bidi w:val="0"/>
        <w:snapToGrid/>
        <w:spacing w:line="360" w:lineRule="auto"/>
        <w:ind w:firstLine="420"/>
        <w:textAlignment w:val="baseline"/>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招标人名称：</w:t>
      </w:r>
      <w:r>
        <w:rPr>
          <w:rFonts w:hint="eastAsia" w:ascii="仿宋" w:hAnsi="仿宋" w:eastAsia="仿宋" w:cs="仿宋"/>
          <w:b w:val="0"/>
          <w:bCs/>
          <w:color w:val="auto"/>
          <w:sz w:val="21"/>
          <w:szCs w:val="21"/>
          <w:highlight w:val="none"/>
          <w:lang w:eastAsia="zh-CN"/>
        </w:rPr>
        <w:t>常山县辉埠镇人民政府</w:t>
      </w:r>
    </w:p>
    <w:p w14:paraId="5E66F5FD">
      <w:pPr>
        <w:pageBreakBefore w:val="0"/>
        <w:numPr>
          <w:ilvl w:val="0"/>
          <w:numId w:val="1"/>
        </w:numPr>
        <w:tabs>
          <w:tab w:val="center" w:pos="4940"/>
        </w:tabs>
        <w:kinsoku/>
        <w:topLinePunct w:val="0"/>
        <w:bidi w:val="0"/>
        <w:snapToGrid/>
        <w:spacing w:line="360" w:lineRule="auto"/>
        <w:ind w:firstLine="420"/>
        <w:textAlignment w:val="baseline"/>
        <w:rPr>
          <w:rFonts w:hint="eastAsia" w:ascii="仿宋" w:hAnsi="仿宋" w:eastAsia="仿宋" w:cs="仿宋"/>
          <w:b w:val="0"/>
          <w:bCs/>
          <w:color w:val="auto"/>
          <w:sz w:val="21"/>
          <w:szCs w:val="21"/>
          <w:highlight w:val="none"/>
          <w:lang w:eastAsia="zh-CN"/>
        </w:rPr>
      </w:pPr>
      <w:r>
        <w:rPr>
          <w:rFonts w:hint="eastAsia" w:ascii="仿宋" w:hAnsi="仿宋" w:eastAsia="仿宋" w:cs="仿宋"/>
          <w:b/>
          <w:color w:val="auto"/>
          <w:sz w:val="21"/>
          <w:szCs w:val="21"/>
          <w:highlight w:val="none"/>
          <w:lang w:eastAsia="zh-CN"/>
        </w:rPr>
        <w:t>招标</w:t>
      </w:r>
      <w:r>
        <w:rPr>
          <w:rFonts w:hint="eastAsia" w:ascii="仿宋" w:hAnsi="仿宋" w:eastAsia="仿宋" w:cs="仿宋"/>
          <w:b/>
          <w:color w:val="auto"/>
          <w:sz w:val="21"/>
          <w:szCs w:val="21"/>
          <w:highlight w:val="none"/>
        </w:rPr>
        <w:t>项目名称：</w:t>
      </w:r>
      <w:r>
        <w:rPr>
          <w:rFonts w:hint="eastAsia" w:ascii="仿宋" w:hAnsi="仿宋" w:eastAsia="仿宋" w:cs="仿宋"/>
          <w:b w:val="0"/>
          <w:bCs/>
          <w:color w:val="auto"/>
          <w:sz w:val="21"/>
          <w:szCs w:val="21"/>
          <w:highlight w:val="none"/>
          <w:lang w:eastAsia="zh-CN"/>
        </w:rPr>
        <w:t>常山县辉埠镇人民政府2026年第一期公款存放招标项目</w:t>
      </w:r>
    </w:p>
    <w:p w14:paraId="3E76B7B3">
      <w:pPr>
        <w:pageBreakBefore w:val="0"/>
        <w:numPr>
          <w:ilvl w:val="0"/>
          <w:numId w:val="1"/>
        </w:numPr>
        <w:kinsoku/>
        <w:topLinePunct w:val="0"/>
        <w:bidi w:val="0"/>
        <w:snapToGrid/>
        <w:spacing w:line="360" w:lineRule="auto"/>
        <w:ind w:left="0" w:leftChars="0" w:firstLine="420" w:firstLineChars="0"/>
        <w:textAlignment w:val="baseline"/>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eastAsia="zh-CN"/>
        </w:rPr>
        <w:t>招标</w:t>
      </w:r>
      <w:r>
        <w:rPr>
          <w:rFonts w:hint="eastAsia" w:ascii="仿宋" w:hAnsi="仿宋" w:eastAsia="仿宋" w:cs="仿宋"/>
          <w:b/>
          <w:color w:val="auto"/>
          <w:sz w:val="21"/>
          <w:szCs w:val="21"/>
          <w:highlight w:val="none"/>
        </w:rPr>
        <w:t>项目编号：</w:t>
      </w:r>
      <w:r>
        <w:rPr>
          <w:rFonts w:hint="eastAsia" w:ascii="仿宋" w:hAnsi="仿宋" w:eastAsia="仿宋" w:cs="仿宋"/>
          <w:b w:val="0"/>
          <w:bCs/>
          <w:color w:val="auto"/>
          <w:sz w:val="21"/>
          <w:szCs w:val="21"/>
          <w:highlight w:val="none"/>
          <w:lang w:eastAsia="zh-CN"/>
        </w:rPr>
        <w:t>ZSCG2026108-GK108</w:t>
      </w:r>
    </w:p>
    <w:p w14:paraId="420884F7">
      <w:pPr>
        <w:pageBreakBefore w:val="0"/>
        <w:numPr>
          <w:ilvl w:val="0"/>
          <w:numId w:val="0"/>
        </w:numPr>
        <w:kinsoku/>
        <w:topLinePunct w:val="0"/>
        <w:bidi w:val="0"/>
        <w:snapToGrid/>
        <w:spacing w:line="360" w:lineRule="auto"/>
        <w:ind w:left="420" w:leftChars="0"/>
        <w:textAlignment w:val="baseline"/>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eastAsia="zh-CN"/>
        </w:rPr>
        <w:t>四、招标项目</w:t>
      </w:r>
      <w:r>
        <w:rPr>
          <w:rFonts w:hint="eastAsia" w:ascii="仿宋" w:hAnsi="仿宋" w:eastAsia="仿宋" w:cs="仿宋"/>
          <w:b/>
          <w:color w:val="auto"/>
          <w:sz w:val="21"/>
          <w:szCs w:val="21"/>
          <w:highlight w:val="none"/>
        </w:rPr>
        <w:t>内容</w:t>
      </w:r>
    </w:p>
    <w:tbl>
      <w:tblPr>
        <w:tblStyle w:val="8"/>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1904"/>
        <w:gridCol w:w="1193"/>
        <w:gridCol w:w="1329"/>
        <w:gridCol w:w="1739"/>
        <w:gridCol w:w="1242"/>
      </w:tblGrid>
      <w:tr w14:paraId="380D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006" w:type="dxa"/>
            <w:vAlign w:val="center"/>
          </w:tcPr>
          <w:p w14:paraId="571F9635">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标项</w:t>
            </w:r>
          </w:p>
        </w:tc>
        <w:tc>
          <w:tcPr>
            <w:tcW w:w="1904" w:type="dxa"/>
            <w:vAlign w:val="center"/>
          </w:tcPr>
          <w:p w14:paraId="5EA560D2">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招标内容</w:t>
            </w:r>
          </w:p>
        </w:tc>
        <w:tc>
          <w:tcPr>
            <w:tcW w:w="1193" w:type="dxa"/>
            <w:vAlign w:val="center"/>
          </w:tcPr>
          <w:p w14:paraId="3C68648D">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存款金额（万元）</w:t>
            </w:r>
          </w:p>
        </w:tc>
        <w:tc>
          <w:tcPr>
            <w:tcW w:w="1329" w:type="dxa"/>
            <w:vAlign w:val="center"/>
          </w:tcPr>
          <w:p w14:paraId="29571A48">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拟选中标银行数量</w:t>
            </w:r>
          </w:p>
        </w:tc>
        <w:tc>
          <w:tcPr>
            <w:tcW w:w="1739" w:type="dxa"/>
            <w:vAlign w:val="center"/>
          </w:tcPr>
          <w:p w14:paraId="12FB7E54">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存款金额分配（万元）</w:t>
            </w:r>
          </w:p>
        </w:tc>
        <w:tc>
          <w:tcPr>
            <w:tcW w:w="1242" w:type="dxa"/>
            <w:vAlign w:val="center"/>
          </w:tcPr>
          <w:p w14:paraId="098DD95C">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存款周期</w:t>
            </w:r>
          </w:p>
        </w:tc>
      </w:tr>
      <w:tr w14:paraId="5490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006" w:type="dxa"/>
            <w:shd w:val="clear" w:color="auto" w:fill="auto"/>
            <w:vAlign w:val="center"/>
          </w:tcPr>
          <w:p w14:paraId="6432F873">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一</w:t>
            </w:r>
          </w:p>
        </w:tc>
        <w:tc>
          <w:tcPr>
            <w:tcW w:w="1904" w:type="dxa"/>
            <w:shd w:val="clear" w:color="auto" w:fill="auto"/>
            <w:vAlign w:val="center"/>
          </w:tcPr>
          <w:p w14:paraId="1794509A">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辉埠镇人民政府代管资金账户、辉埠镇人民政府资金账户</w:t>
            </w:r>
          </w:p>
        </w:tc>
        <w:tc>
          <w:tcPr>
            <w:tcW w:w="1193" w:type="dxa"/>
            <w:shd w:val="clear" w:color="auto" w:fill="auto"/>
            <w:vAlign w:val="center"/>
          </w:tcPr>
          <w:p w14:paraId="498AF634">
            <w:pPr>
              <w:pageBreakBefore w:val="0"/>
              <w:kinsoku/>
              <w:topLinePunct w:val="0"/>
              <w:bidi w:val="0"/>
              <w:snapToGrid/>
              <w:spacing w:line="240" w:lineRule="auto"/>
              <w:jc w:val="center"/>
              <w:textAlignment w:val="baseline"/>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4500</w:t>
            </w:r>
          </w:p>
        </w:tc>
        <w:tc>
          <w:tcPr>
            <w:tcW w:w="1329" w:type="dxa"/>
            <w:shd w:val="clear" w:color="auto" w:fill="auto"/>
            <w:vAlign w:val="center"/>
          </w:tcPr>
          <w:p w14:paraId="148AA0A6">
            <w:pPr>
              <w:pageBreakBefore w:val="0"/>
              <w:kinsoku/>
              <w:topLinePunct w:val="0"/>
              <w:bidi w:val="0"/>
              <w:snapToGrid/>
              <w:spacing w:line="240" w:lineRule="auto"/>
              <w:jc w:val="center"/>
              <w:textAlignment w:val="baseline"/>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5家</w:t>
            </w:r>
          </w:p>
        </w:tc>
        <w:tc>
          <w:tcPr>
            <w:tcW w:w="1739" w:type="dxa"/>
            <w:vAlign w:val="center"/>
          </w:tcPr>
          <w:p w14:paraId="71A0CAAD">
            <w:pPr>
              <w:pageBreakBefore w:val="0"/>
              <w:kinsoku/>
              <w:topLinePunct w:val="0"/>
              <w:bidi w:val="0"/>
              <w:snapToGrid/>
              <w:spacing w:line="240" w:lineRule="auto"/>
              <w:jc w:val="center"/>
              <w:textAlignment w:val="baseline"/>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第</w:t>
            </w:r>
            <w:r>
              <w:rPr>
                <w:rFonts w:hint="eastAsia" w:ascii="仿宋" w:hAnsi="仿宋" w:eastAsia="仿宋" w:cs="仿宋"/>
                <w:color w:val="auto"/>
                <w:kern w:val="0"/>
                <w:szCs w:val="21"/>
                <w:highlight w:val="none"/>
                <w:lang w:val="en-US" w:eastAsia="zh-CN"/>
              </w:rPr>
              <w:t>1</w:t>
            </w:r>
            <w:r>
              <w:rPr>
                <w:rFonts w:hint="eastAsia" w:ascii="仿宋" w:hAnsi="仿宋" w:eastAsia="仿宋" w:cs="仿宋"/>
                <w:color w:val="auto"/>
                <w:kern w:val="0"/>
                <w:szCs w:val="21"/>
                <w:highlight w:val="none"/>
                <w:lang w:eastAsia="zh-CN"/>
              </w:rPr>
              <w:t>名：</w:t>
            </w:r>
            <w:r>
              <w:rPr>
                <w:rFonts w:hint="eastAsia" w:ascii="仿宋" w:hAnsi="仿宋" w:eastAsia="仿宋" w:cs="仿宋"/>
                <w:color w:val="auto"/>
                <w:kern w:val="0"/>
                <w:szCs w:val="21"/>
                <w:highlight w:val="none"/>
                <w:lang w:val="en-US" w:eastAsia="zh-CN"/>
              </w:rPr>
              <w:t>2400</w:t>
            </w:r>
          </w:p>
          <w:p w14:paraId="588111CF">
            <w:pPr>
              <w:pageBreakBefore w:val="0"/>
              <w:kinsoku/>
              <w:topLinePunct w:val="0"/>
              <w:bidi w:val="0"/>
              <w:snapToGrid/>
              <w:spacing w:line="240" w:lineRule="auto"/>
              <w:jc w:val="center"/>
              <w:textAlignment w:val="baseline"/>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第</w:t>
            </w:r>
            <w:r>
              <w:rPr>
                <w:rFonts w:hint="eastAsia" w:ascii="仿宋" w:hAnsi="仿宋" w:eastAsia="仿宋" w:cs="仿宋"/>
                <w:color w:val="auto"/>
                <w:kern w:val="0"/>
                <w:szCs w:val="21"/>
                <w:highlight w:val="none"/>
                <w:lang w:val="en-US" w:eastAsia="zh-CN"/>
              </w:rPr>
              <w:t>2</w:t>
            </w:r>
            <w:r>
              <w:rPr>
                <w:rFonts w:hint="eastAsia" w:ascii="仿宋" w:hAnsi="仿宋" w:eastAsia="仿宋" w:cs="仿宋"/>
                <w:color w:val="auto"/>
                <w:kern w:val="0"/>
                <w:szCs w:val="21"/>
                <w:highlight w:val="none"/>
                <w:lang w:eastAsia="zh-CN"/>
              </w:rPr>
              <w:t>名：</w:t>
            </w:r>
            <w:r>
              <w:rPr>
                <w:rFonts w:hint="eastAsia" w:ascii="仿宋" w:hAnsi="仿宋" w:eastAsia="仿宋" w:cs="仿宋"/>
                <w:color w:val="auto"/>
                <w:kern w:val="0"/>
                <w:szCs w:val="21"/>
                <w:highlight w:val="none"/>
                <w:lang w:val="en-US" w:eastAsia="zh-CN"/>
              </w:rPr>
              <w:t>600</w:t>
            </w:r>
          </w:p>
          <w:p w14:paraId="1DBCC351">
            <w:pPr>
              <w:pageBreakBefore w:val="0"/>
              <w:kinsoku/>
              <w:topLinePunct w:val="0"/>
              <w:bidi w:val="0"/>
              <w:snapToGrid/>
              <w:spacing w:line="240" w:lineRule="auto"/>
              <w:jc w:val="center"/>
              <w:textAlignment w:val="baseline"/>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第</w:t>
            </w:r>
            <w:r>
              <w:rPr>
                <w:rFonts w:hint="eastAsia" w:ascii="仿宋" w:hAnsi="仿宋" w:eastAsia="仿宋" w:cs="仿宋"/>
                <w:color w:val="auto"/>
                <w:kern w:val="0"/>
                <w:szCs w:val="21"/>
                <w:highlight w:val="none"/>
                <w:lang w:val="en-US" w:eastAsia="zh-CN"/>
              </w:rPr>
              <w:t>3</w:t>
            </w:r>
            <w:r>
              <w:rPr>
                <w:rFonts w:hint="eastAsia" w:ascii="仿宋" w:hAnsi="仿宋" w:eastAsia="仿宋" w:cs="仿宋"/>
                <w:color w:val="auto"/>
                <w:kern w:val="0"/>
                <w:szCs w:val="21"/>
                <w:highlight w:val="none"/>
                <w:lang w:eastAsia="zh-CN"/>
              </w:rPr>
              <w:t>名：</w:t>
            </w:r>
            <w:r>
              <w:rPr>
                <w:rFonts w:hint="eastAsia" w:ascii="仿宋" w:hAnsi="仿宋" w:eastAsia="仿宋" w:cs="仿宋"/>
                <w:color w:val="auto"/>
                <w:kern w:val="0"/>
                <w:szCs w:val="21"/>
                <w:highlight w:val="none"/>
                <w:lang w:val="en-US" w:eastAsia="zh-CN"/>
              </w:rPr>
              <w:t>550</w:t>
            </w:r>
          </w:p>
          <w:p w14:paraId="5B28287C">
            <w:pPr>
              <w:pageBreakBefore w:val="0"/>
              <w:kinsoku/>
              <w:topLinePunct w:val="0"/>
              <w:bidi w:val="0"/>
              <w:snapToGrid/>
              <w:spacing w:line="240" w:lineRule="auto"/>
              <w:jc w:val="center"/>
              <w:textAlignment w:val="baseline"/>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第</w:t>
            </w:r>
            <w:r>
              <w:rPr>
                <w:rFonts w:hint="eastAsia" w:ascii="仿宋" w:hAnsi="仿宋" w:eastAsia="仿宋" w:cs="仿宋"/>
                <w:color w:val="auto"/>
                <w:kern w:val="0"/>
                <w:szCs w:val="21"/>
                <w:highlight w:val="none"/>
                <w:lang w:val="en-US" w:eastAsia="zh-CN"/>
              </w:rPr>
              <w:t>4</w:t>
            </w:r>
            <w:r>
              <w:rPr>
                <w:rFonts w:hint="eastAsia" w:ascii="仿宋" w:hAnsi="仿宋" w:eastAsia="仿宋" w:cs="仿宋"/>
                <w:color w:val="auto"/>
                <w:kern w:val="0"/>
                <w:szCs w:val="21"/>
                <w:highlight w:val="none"/>
                <w:lang w:eastAsia="zh-CN"/>
              </w:rPr>
              <w:t>名：</w:t>
            </w:r>
            <w:r>
              <w:rPr>
                <w:rFonts w:hint="eastAsia" w:ascii="仿宋" w:hAnsi="仿宋" w:eastAsia="仿宋" w:cs="仿宋"/>
                <w:color w:val="auto"/>
                <w:kern w:val="0"/>
                <w:szCs w:val="21"/>
                <w:highlight w:val="none"/>
                <w:lang w:val="en-US" w:eastAsia="zh-CN"/>
              </w:rPr>
              <w:t>450</w:t>
            </w:r>
          </w:p>
          <w:p w14:paraId="15A96590">
            <w:pPr>
              <w:pageBreakBefore w:val="0"/>
              <w:kinsoku/>
              <w:topLinePunct w:val="0"/>
              <w:bidi w:val="0"/>
              <w:snapToGrid/>
              <w:spacing w:line="240" w:lineRule="auto"/>
              <w:jc w:val="center"/>
              <w:textAlignment w:val="baseline"/>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第5名：500</w:t>
            </w:r>
          </w:p>
        </w:tc>
        <w:tc>
          <w:tcPr>
            <w:tcW w:w="1242" w:type="dxa"/>
            <w:vAlign w:val="center"/>
          </w:tcPr>
          <w:p w14:paraId="61BDD667">
            <w:pPr>
              <w:pageBreakBefore w:val="0"/>
              <w:kinsoku/>
              <w:topLinePunct w:val="0"/>
              <w:bidi w:val="0"/>
              <w:snapToGrid/>
              <w:spacing w:line="240" w:lineRule="auto"/>
              <w:jc w:val="center"/>
              <w:textAlignment w:val="baseline"/>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6个月</w:t>
            </w:r>
          </w:p>
        </w:tc>
      </w:tr>
    </w:tbl>
    <w:p w14:paraId="727AA1F5">
      <w:pPr>
        <w:pageBreakBefore w:val="0"/>
        <w:kinsoku/>
        <w:topLinePunct w:val="0"/>
        <w:bidi w:val="0"/>
        <w:snapToGrid/>
        <w:spacing w:line="360" w:lineRule="auto"/>
        <w:ind w:firstLine="420"/>
        <w:textAlignment w:val="baseline"/>
        <w:rPr>
          <w:rFonts w:hint="eastAsia" w:ascii="仿宋" w:hAnsi="仿宋" w:eastAsia="仿宋" w:cs="仿宋"/>
          <w:bCs/>
          <w:color w:val="auto"/>
          <w:sz w:val="21"/>
          <w:szCs w:val="21"/>
          <w:highlight w:val="none"/>
        </w:rPr>
      </w:pPr>
      <w:r>
        <w:rPr>
          <w:rFonts w:hint="eastAsia" w:ascii="宋体" w:hAnsi="宋体" w:eastAsia="宋体" w:cs="宋体"/>
          <w:b/>
          <w:color w:val="auto"/>
          <w:sz w:val="21"/>
          <w:szCs w:val="21"/>
          <w:highlight w:val="none"/>
          <w:lang w:eastAsia="zh-CN"/>
        </w:rPr>
        <w:t>▲</w:t>
      </w:r>
      <w:r>
        <w:rPr>
          <w:rFonts w:hint="eastAsia" w:ascii="仿宋" w:hAnsi="仿宋" w:eastAsia="仿宋" w:cs="仿宋"/>
          <w:b/>
          <w:color w:val="auto"/>
          <w:sz w:val="21"/>
          <w:szCs w:val="21"/>
          <w:highlight w:val="none"/>
          <w:lang w:eastAsia="zh-CN"/>
        </w:rPr>
        <w:t>五</w:t>
      </w:r>
      <w:r>
        <w:rPr>
          <w:rFonts w:hint="eastAsia" w:ascii="仿宋" w:hAnsi="仿宋" w:eastAsia="仿宋" w:cs="仿宋"/>
          <w:b/>
          <w:color w:val="auto"/>
          <w:sz w:val="21"/>
          <w:szCs w:val="21"/>
          <w:highlight w:val="none"/>
        </w:rPr>
        <w:t>、投标人的资格要求</w:t>
      </w:r>
    </w:p>
    <w:p w14:paraId="1694EDF1">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投标人应符合</w:t>
      </w:r>
      <w:r>
        <w:rPr>
          <w:rFonts w:hint="eastAsia" w:ascii="仿宋" w:hAnsi="仿宋" w:eastAsia="仿宋" w:cs="仿宋"/>
          <w:color w:val="auto"/>
          <w:sz w:val="21"/>
          <w:szCs w:val="21"/>
          <w:highlight w:val="none"/>
          <w:lang w:eastAsia="zh-CN"/>
        </w:rPr>
        <w:t>《常山县行政事业单位公款竞争性存放管理办法》的规定，具备承担招标项目的能力，具体包括</w:t>
      </w:r>
      <w:r>
        <w:rPr>
          <w:rFonts w:hint="eastAsia" w:ascii="仿宋" w:hAnsi="仿宋" w:eastAsia="仿宋" w:cs="仿宋"/>
          <w:color w:val="auto"/>
          <w:kern w:val="0"/>
          <w:szCs w:val="21"/>
          <w:highlight w:val="none"/>
        </w:rPr>
        <w:t>：</w:t>
      </w:r>
    </w:p>
    <w:p w14:paraId="13B6848B">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lang w:eastAsia="zh-CN"/>
        </w:rPr>
        <w:t>（一）在县级行政事业单位所在同城设有分支机构；</w:t>
      </w:r>
    </w:p>
    <w:p w14:paraId="7878026A">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（二）</w:t>
      </w:r>
      <w:r>
        <w:rPr>
          <w:rFonts w:hint="eastAsia" w:ascii="仿宋" w:hAnsi="仿宋" w:eastAsia="仿宋" w:cs="仿宋"/>
          <w:color w:val="auto"/>
          <w:kern w:val="0"/>
          <w:szCs w:val="21"/>
          <w:highlight w:val="none"/>
        </w:rPr>
        <w:t>依法开展经营活动，近3年内在经营活动中无重大违法违规记录及重大违约事件</w:t>
      </w:r>
      <w:r>
        <w:rPr>
          <w:rFonts w:hint="eastAsia" w:ascii="仿宋" w:hAnsi="仿宋" w:eastAsia="仿宋" w:cs="仿宋"/>
          <w:color w:val="auto"/>
          <w:kern w:val="0"/>
          <w:szCs w:val="21"/>
          <w:highlight w:val="none"/>
          <w:lang w:eastAsia="zh-CN"/>
        </w:rPr>
        <w:t>；</w:t>
      </w:r>
    </w:p>
    <w:p w14:paraId="09C78C09">
      <w:pPr>
        <w:pageBreakBefore w:val="0"/>
        <w:kinsoku/>
        <w:topLinePunct w:val="0"/>
        <w:bidi w:val="0"/>
        <w:snapToGrid/>
        <w:spacing w:line="360" w:lineRule="auto"/>
        <w:ind w:firstLine="420"/>
        <w:textAlignment w:val="baseline"/>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w:t>
      </w:r>
      <w:r>
        <w:rPr>
          <w:rFonts w:hint="eastAsia" w:ascii="仿宋" w:hAnsi="仿宋" w:eastAsia="仿宋" w:cs="仿宋"/>
          <w:color w:val="auto"/>
          <w:kern w:val="0"/>
          <w:szCs w:val="21"/>
          <w:highlight w:val="none"/>
          <w:lang w:eastAsia="zh-CN"/>
        </w:rPr>
        <w:t>三</w:t>
      </w:r>
      <w:r>
        <w:rPr>
          <w:rFonts w:hint="eastAsia" w:ascii="仿宋" w:hAnsi="仿宋" w:eastAsia="仿宋" w:cs="仿宋"/>
          <w:color w:val="auto"/>
          <w:kern w:val="0"/>
          <w:szCs w:val="21"/>
          <w:highlight w:val="none"/>
        </w:rPr>
        <w:t>）</w:t>
      </w:r>
      <w:r>
        <w:rPr>
          <w:rFonts w:hint="eastAsia" w:ascii="仿宋" w:hAnsi="仿宋" w:eastAsia="仿宋" w:cs="仿宋"/>
          <w:color w:val="auto"/>
          <w:kern w:val="0"/>
          <w:szCs w:val="21"/>
          <w:highlight w:val="none"/>
          <w:lang w:eastAsia="zh-CN"/>
        </w:rPr>
        <w:t>纳入人民银行综合评价的银行，</w:t>
      </w:r>
      <w:r>
        <w:rPr>
          <w:rFonts w:hint="eastAsia" w:ascii="仿宋" w:hAnsi="仿宋" w:eastAsia="仿宋" w:cs="仿宋"/>
          <w:color w:val="auto"/>
          <w:kern w:val="0"/>
          <w:szCs w:val="21"/>
          <w:highlight w:val="none"/>
        </w:rPr>
        <w:t>人民银行</w:t>
      </w:r>
      <w:r>
        <w:rPr>
          <w:rFonts w:hint="eastAsia" w:ascii="仿宋" w:hAnsi="仿宋" w:eastAsia="仿宋" w:cs="仿宋"/>
          <w:color w:val="auto"/>
          <w:kern w:val="0"/>
          <w:szCs w:val="21"/>
          <w:highlight w:val="none"/>
          <w:lang w:val="en-US" w:eastAsia="zh-CN"/>
        </w:rPr>
        <w:t>上</w:t>
      </w:r>
      <w:r>
        <w:rPr>
          <w:rFonts w:hint="eastAsia" w:ascii="仿宋" w:hAnsi="仿宋" w:eastAsia="仿宋" w:cs="仿宋"/>
          <w:color w:val="auto"/>
          <w:kern w:val="0"/>
          <w:szCs w:val="21"/>
          <w:highlight w:val="none"/>
        </w:rPr>
        <w:t>年度综合评价应达到B级</w:t>
      </w:r>
      <w:r>
        <w:rPr>
          <w:rFonts w:hint="eastAsia" w:ascii="仿宋" w:hAnsi="仿宋" w:eastAsia="仿宋" w:cs="仿宋"/>
          <w:color w:val="auto"/>
          <w:kern w:val="0"/>
          <w:szCs w:val="21"/>
          <w:highlight w:val="none"/>
          <w:lang w:eastAsia="zh-CN"/>
        </w:rPr>
        <w:t>及</w:t>
      </w:r>
      <w:r>
        <w:rPr>
          <w:rFonts w:hint="eastAsia" w:ascii="仿宋" w:hAnsi="仿宋" w:eastAsia="仿宋" w:cs="仿宋"/>
          <w:color w:val="auto"/>
          <w:kern w:val="0"/>
          <w:szCs w:val="21"/>
          <w:highlight w:val="none"/>
        </w:rPr>
        <w:t>以上</w:t>
      </w:r>
      <w:r>
        <w:rPr>
          <w:rFonts w:hint="eastAsia" w:ascii="仿宋" w:hAnsi="仿宋" w:eastAsia="仿宋" w:cs="仿宋"/>
          <w:color w:val="auto"/>
          <w:kern w:val="0"/>
          <w:szCs w:val="21"/>
          <w:highlight w:val="none"/>
          <w:lang w:eastAsia="zh-CN"/>
        </w:rPr>
        <w:t>，不</w:t>
      </w:r>
      <w:r>
        <w:rPr>
          <w:rFonts w:hint="eastAsia" w:ascii="仿宋" w:hAnsi="仿宋" w:eastAsia="仿宋" w:cs="仿宋"/>
          <w:color w:val="auto"/>
          <w:kern w:val="0"/>
          <w:szCs w:val="21"/>
          <w:highlight w:val="none"/>
        </w:rPr>
        <w:t>纳入人民银行</w:t>
      </w:r>
      <w:r>
        <w:rPr>
          <w:rFonts w:hint="eastAsia" w:ascii="仿宋" w:hAnsi="仿宋" w:eastAsia="仿宋" w:cs="仿宋"/>
          <w:color w:val="auto"/>
          <w:kern w:val="0"/>
          <w:szCs w:val="21"/>
          <w:highlight w:val="none"/>
          <w:lang w:val="en-US" w:eastAsia="zh-CN"/>
        </w:rPr>
        <w:t>综合评价范围银行不受此限制</w:t>
      </w:r>
      <w:r>
        <w:rPr>
          <w:rFonts w:hint="eastAsia" w:ascii="仿宋" w:hAnsi="仿宋" w:eastAsia="仿宋" w:cs="仿宋"/>
          <w:color w:val="auto"/>
          <w:kern w:val="0"/>
          <w:szCs w:val="21"/>
          <w:highlight w:val="none"/>
          <w:lang w:eastAsia="zh-CN"/>
        </w:rPr>
        <w:t>。</w:t>
      </w:r>
    </w:p>
    <w:p w14:paraId="14058DE8">
      <w:pPr>
        <w:pageBreakBefore w:val="0"/>
        <w:kinsoku/>
        <w:topLinePunct w:val="0"/>
        <w:bidi w:val="0"/>
        <w:snapToGrid/>
        <w:spacing w:line="360" w:lineRule="auto"/>
        <w:ind w:firstLine="420"/>
        <w:textAlignment w:val="baseline"/>
        <w:rPr>
          <w:rFonts w:hint="eastAsia" w:ascii="仿宋" w:hAnsi="仿宋" w:eastAsia="仿宋" w:cs="仿宋"/>
          <w:b/>
          <w:color w:val="auto"/>
          <w:szCs w:val="21"/>
          <w:highlight w:val="none"/>
          <w:lang w:eastAsia="zh-CN"/>
        </w:rPr>
      </w:pPr>
      <w:r>
        <w:rPr>
          <w:rFonts w:hint="eastAsia" w:ascii="仿宋" w:hAnsi="仿宋" w:eastAsia="仿宋" w:cs="仿宋"/>
          <w:b/>
          <w:color w:val="auto"/>
          <w:sz w:val="21"/>
          <w:szCs w:val="21"/>
          <w:highlight w:val="none"/>
          <w:lang w:eastAsia="zh-CN"/>
        </w:rPr>
        <w:t>六</w:t>
      </w:r>
      <w:r>
        <w:rPr>
          <w:rFonts w:hint="eastAsia" w:ascii="仿宋" w:hAnsi="仿宋" w:eastAsia="仿宋" w:cs="仿宋"/>
          <w:b/>
          <w:color w:val="auto"/>
          <w:sz w:val="21"/>
          <w:szCs w:val="21"/>
          <w:highlight w:val="none"/>
        </w:rPr>
        <w:t>、</w:t>
      </w:r>
      <w:r>
        <w:rPr>
          <w:rFonts w:hint="eastAsia" w:ascii="仿宋" w:hAnsi="仿宋" w:eastAsia="仿宋" w:cs="仿宋"/>
          <w:b/>
          <w:color w:val="auto"/>
          <w:sz w:val="21"/>
          <w:szCs w:val="21"/>
          <w:highlight w:val="none"/>
          <w:lang w:eastAsia="zh-CN"/>
        </w:rPr>
        <w:t>投标报名</w:t>
      </w:r>
    </w:p>
    <w:p w14:paraId="3FB5DCF7">
      <w:pPr>
        <w:spacing w:line="46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（一）报名</w:t>
      </w:r>
      <w:r>
        <w:rPr>
          <w:rFonts w:hint="eastAsia" w:ascii="仿宋" w:hAnsi="仿宋" w:eastAsia="仿宋" w:cs="仿宋"/>
          <w:color w:val="auto"/>
          <w:szCs w:val="21"/>
          <w:highlight w:val="none"/>
        </w:rPr>
        <w:t>时间：</w:t>
      </w:r>
      <w:r>
        <w:rPr>
          <w:rFonts w:hint="eastAsia" w:ascii="仿宋" w:hAnsi="仿宋" w:eastAsia="仿宋" w:cs="仿宋"/>
          <w:b/>
          <w:bCs/>
          <w:color w:val="auto"/>
          <w:spacing w:val="11"/>
          <w:sz w:val="21"/>
          <w:highlight w:val="none"/>
          <w:lang w:eastAsia="zh-CN"/>
        </w:rPr>
        <w:t>2026年</w:t>
      </w:r>
      <w:r>
        <w:rPr>
          <w:rFonts w:hint="eastAsia" w:ascii="仿宋" w:hAnsi="仿宋" w:eastAsia="仿宋" w:cs="仿宋"/>
          <w:b/>
          <w:bCs/>
          <w:color w:val="auto"/>
          <w:spacing w:val="11"/>
          <w:sz w:val="21"/>
          <w:highlight w:val="none"/>
          <w:lang w:val="en-US" w:eastAsia="zh-CN"/>
        </w:rPr>
        <w:t>03</w:t>
      </w:r>
      <w:r>
        <w:rPr>
          <w:rFonts w:hint="eastAsia" w:ascii="仿宋" w:hAnsi="仿宋" w:eastAsia="仿宋" w:cs="仿宋"/>
          <w:b/>
          <w:bCs/>
          <w:color w:val="auto"/>
          <w:spacing w:val="11"/>
          <w:sz w:val="21"/>
          <w:highlight w:val="none"/>
          <w:lang w:eastAsia="zh-CN"/>
        </w:rPr>
        <w:t>月</w:t>
      </w:r>
      <w:r>
        <w:rPr>
          <w:rFonts w:hint="eastAsia" w:ascii="仿宋" w:hAnsi="仿宋" w:eastAsia="仿宋" w:cs="仿宋"/>
          <w:b/>
          <w:bCs/>
          <w:color w:val="auto"/>
          <w:spacing w:val="11"/>
          <w:sz w:val="21"/>
          <w:highlight w:val="none"/>
          <w:lang w:val="en-US" w:eastAsia="zh-CN"/>
        </w:rPr>
        <w:t>12</w:t>
      </w:r>
      <w:r>
        <w:rPr>
          <w:rFonts w:hint="eastAsia" w:ascii="仿宋" w:hAnsi="仿宋" w:eastAsia="仿宋" w:cs="仿宋"/>
          <w:b/>
          <w:bCs/>
          <w:color w:val="auto"/>
          <w:spacing w:val="11"/>
          <w:sz w:val="21"/>
          <w:highlight w:val="none"/>
          <w:lang w:eastAsia="zh-CN"/>
        </w:rPr>
        <w:t>日</w:t>
      </w:r>
      <w:r>
        <w:rPr>
          <w:rFonts w:hint="eastAsia" w:ascii="仿宋" w:hAnsi="仿宋" w:eastAsia="仿宋" w:cs="仿宋"/>
          <w:color w:val="auto"/>
          <w:szCs w:val="21"/>
          <w:highlight w:val="none"/>
        </w:rPr>
        <w:t>至</w:t>
      </w:r>
      <w:r>
        <w:rPr>
          <w:rFonts w:hint="eastAsia" w:ascii="仿宋" w:hAnsi="仿宋" w:eastAsia="仿宋" w:cs="仿宋"/>
          <w:b/>
          <w:bCs/>
          <w:color w:val="auto"/>
          <w:spacing w:val="11"/>
          <w:sz w:val="21"/>
          <w:highlight w:val="none"/>
          <w:lang w:eastAsia="zh-CN"/>
        </w:rPr>
        <w:t>2026年</w:t>
      </w:r>
      <w:r>
        <w:rPr>
          <w:rFonts w:hint="eastAsia" w:ascii="仿宋" w:hAnsi="仿宋" w:eastAsia="仿宋" w:cs="仿宋"/>
          <w:b/>
          <w:bCs/>
          <w:color w:val="auto"/>
          <w:spacing w:val="11"/>
          <w:sz w:val="21"/>
          <w:highlight w:val="none"/>
          <w:lang w:val="en-US" w:eastAsia="zh-CN"/>
        </w:rPr>
        <w:t>03</w:t>
      </w:r>
      <w:r>
        <w:rPr>
          <w:rFonts w:hint="eastAsia" w:ascii="仿宋" w:hAnsi="仿宋" w:eastAsia="仿宋" w:cs="仿宋"/>
          <w:b/>
          <w:bCs/>
          <w:color w:val="auto"/>
          <w:spacing w:val="11"/>
          <w:sz w:val="21"/>
          <w:highlight w:val="none"/>
          <w:lang w:eastAsia="zh-CN"/>
        </w:rPr>
        <w:t>月</w:t>
      </w:r>
      <w:r>
        <w:rPr>
          <w:rFonts w:hint="eastAsia" w:ascii="仿宋" w:hAnsi="仿宋" w:eastAsia="仿宋" w:cs="仿宋"/>
          <w:b/>
          <w:bCs/>
          <w:color w:val="auto"/>
          <w:spacing w:val="11"/>
          <w:sz w:val="21"/>
          <w:highlight w:val="none"/>
          <w:lang w:val="en-US" w:eastAsia="zh-CN"/>
        </w:rPr>
        <w:t>19</w:t>
      </w:r>
      <w:r>
        <w:rPr>
          <w:rFonts w:hint="eastAsia" w:ascii="仿宋" w:hAnsi="仿宋" w:eastAsia="仿宋" w:cs="仿宋"/>
          <w:b/>
          <w:bCs/>
          <w:color w:val="auto"/>
          <w:spacing w:val="11"/>
          <w:sz w:val="21"/>
          <w:highlight w:val="none"/>
          <w:lang w:eastAsia="zh-CN"/>
        </w:rPr>
        <w:t>日</w:t>
      </w:r>
      <w:r>
        <w:rPr>
          <w:rFonts w:hint="eastAsia" w:ascii="仿宋" w:hAnsi="仿宋" w:eastAsia="仿宋" w:cs="仿宋"/>
          <w:color w:val="auto"/>
          <w:szCs w:val="21"/>
          <w:highlight w:val="none"/>
        </w:rPr>
        <w:t>，每天上午00:00至12:00，下午12:00至23:59（北京时间）</w:t>
      </w:r>
    </w:p>
    <w:p w14:paraId="0A44C8F1">
      <w:pPr>
        <w:keepNext w:val="0"/>
        <w:keepLines w:val="0"/>
        <w:pageBreakBefore w:val="0"/>
        <w:widowControl w:val="0"/>
        <w:kinsoku/>
        <w:wordWrap w:val="0"/>
        <w:overflowPunct/>
        <w:topLinePunct w:val="0"/>
        <w:autoSpaceDE/>
        <w:autoSpaceDN/>
        <w:bidi w:val="0"/>
        <w:adjustRightInd/>
        <w:snapToGrid/>
        <w:spacing w:line="460" w:lineRule="exact"/>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（二）报名方式：本项目实行网上报名，不接受现场报名。投标人</w:t>
      </w:r>
      <w:r>
        <w:rPr>
          <w:rFonts w:hint="eastAsia" w:ascii="仿宋" w:hAnsi="仿宋" w:eastAsia="仿宋" w:cs="仿宋"/>
          <w:color w:val="auto"/>
          <w:szCs w:val="21"/>
          <w:highlight w:val="none"/>
        </w:rPr>
        <w:t>登录“</w:t>
      </w:r>
      <w:r>
        <w:rPr>
          <w:rFonts w:hint="eastAsia" w:ascii="仿宋" w:hAnsi="仿宋" w:eastAsia="仿宋" w:cs="仿宋"/>
          <w:color w:val="auto"/>
          <w:szCs w:val="21"/>
          <w:highlight w:val="none"/>
          <w:lang w:eastAsia="zh-CN"/>
        </w:rPr>
        <w:t>浙江省公款竞争性存放网上招标</w:t>
      </w:r>
      <w:r>
        <w:rPr>
          <w:rFonts w:hint="eastAsia" w:ascii="仿宋" w:hAnsi="仿宋" w:eastAsia="仿宋" w:cs="仿宋"/>
          <w:color w:val="auto"/>
          <w:szCs w:val="21"/>
          <w:highlight w:val="none"/>
        </w:rPr>
        <w:t>”平台（https://gkcf-login.czt.zj.gov.cn）进入公款竞争性存放招标系统（以下简称“招标系统”），在竞标项目内按规定进行报名。第一步：选择本期招标项目，第二步：填写报名信息。报名成功后联系人会收到短信通知，逾期报名视为未报名。</w:t>
      </w:r>
    </w:p>
    <w:p w14:paraId="47630FAF">
      <w:pPr>
        <w:pageBreakBefore w:val="0"/>
        <w:kinsoku/>
        <w:topLinePunct w:val="0"/>
        <w:autoSpaceDE w:val="0"/>
        <w:autoSpaceDN w:val="0"/>
        <w:bidi w:val="0"/>
        <w:adjustRightInd w:val="0"/>
        <w:snapToGrid/>
        <w:spacing w:line="360" w:lineRule="auto"/>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rPr>
        <w:t>报名时需要提交的资料：</w:t>
      </w:r>
    </w:p>
    <w:p w14:paraId="431FD1EA">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color w:val="auto"/>
          <w:sz w:val="21"/>
          <w:szCs w:val="21"/>
          <w:highlight w:val="none"/>
          <w:lang w:val="zh-CN"/>
        </w:rPr>
      </w:pPr>
      <w:r>
        <w:rPr>
          <w:rFonts w:hint="eastAsia" w:ascii="仿宋" w:hAnsi="仿宋" w:eastAsia="仿宋" w:cs="仿宋"/>
          <w:b w:val="0"/>
          <w:bCs w:val="0"/>
          <w:color w:val="auto"/>
          <w:sz w:val="21"/>
          <w:szCs w:val="21"/>
          <w:highlight w:val="none"/>
          <w:lang w:val="zh-CN"/>
        </w:rPr>
        <w:t>（</w:t>
      </w: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zh-CN"/>
        </w:rPr>
        <w:t>）有效的法人营业执照复印件；</w:t>
      </w:r>
    </w:p>
    <w:p w14:paraId="652A9809">
      <w:pPr>
        <w:widowControl/>
        <w:spacing w:line="360" w:lineRule="auto"/>
        <w:ind w:firstLine="420" w:firstLineChars="200"/>
        <w:rPr>
          <w:rFonts w:hint="eastAsia" w:ascii="仿宋" w:hAnsi="仿宋" w:eastAsia="仿宋" w:cs="仿宋"/>
          <w:b w:val="0"/>
          <w:bCs w:val="0"/>
          <w:color w:val="auto"/>
          <w:sz w:val="21"/>
          <w:szCs w:val="21"/>
          <w:highlight w:val="none"/>
          <w:lang w:val="zh-CN"/>
        </w:rPr>
      </w:pPr>
      <w:r>
        <w:rPr>
          <w:rFonts w:hint="eastAsia" w:ascii="仿宋" w:hAnsi="仿宋" w:eastAsia="仿宋" w:cs="仿宋"/>
          <w:b w:val="0"/>
          <w:bCs w:val="0"/>
          <w:color w:val="auto"/>
          <w:sz w:val="21"/>
          <w:szCs w:val="21"/>
          <w:highlight w:val="none"/>
          <w:lang w:val="zh-CN"/>
        </w:rPr>
        <w:t>（2）有效的金融许可证复印件；</w:t>
      </w:r>
    </w:p>
    <w:p w14:paraId="094E6E05">
      <w:pPr>
        <w:pageBreakBefore w:val="0"/>
        <w:kinsoku/>
        <w:topLinePunct w:val="0"/>
        <w:autoSpaceDE w:val="0"/>
        <w:autoSpaceDN w:val="0"/>
        <w:bidi w:val="0"/>
        <w:adjustRightInd w:val="0"/>
        <w:snapToGrid/>
        <w:spacing w:line="360" w:lineRule="auto"/>
        <w:ind w:firstLine="420" w:firstLineChars="200"/>
        <w:rPr>
          <w:rStyle w:val="10"/>
          <w:rFonts w:hint="eastAsia" w:ascii="仿宋" w:hAnsi="仿宋" w:eastAsia="仿宋" w:cs="仿宋"/>
          <w:b w:val="0"/>
          <w:bCs w:val="0"/>
          <w:color w:val="auto"/>
          <w:szCs w:val="21"/>
          <w:highlight w:val="none"/>
          <w:lang w:val="zh-CN"/>
        </w:rPr>
      </w:pPr>
      <w:r>
        <w:rPr>
          <w:rFonts w:hint="eastAsia" w:ascii="仿宋" w:hAnsi="仿宋" w:eastAsia="仿宋" w:cs="仿宋"/>
          <w:b w:val="0"/>
          <w:bCs w:val="0"/>
          <w:color w:val="auto"/>
          <w:sz w:val="21"/>
          <w:szCs w:val="21"/>
          <w:highlight w:val="none"/>
          <w:lang w:val="zh-CN"/>
        </w:rPr>
        <w:t>（</w:t>
      </w: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lang w:val="zh-CN"/>
        </w:rPr>
        <w:t>）</w:t>
      </w:r>
      <w:r>
        <w:rPr>
          <w:rStyle w:val="10"/>
          <w:rFonts w:hint="eastAsia" w:ascii="仿宋" w:hAnsi="仿宋" w:eastAsia="仿宋" w:cs="仿宋"/>
          <w:b w:val="0"/>
          <w:bCs w:val="0"/>
          <w:color w:val="auto"/>
          <w:szCs w:val="21"/>
          <w:highlight w:val="none"/>
          <w:lang w:val="zh-CN"/>
        </w:rPr>
        <w:t>法定代表人身份证明【详见招标文件附件</w:t>
      </w:r>
      <w:r>
        <w:rPr>
          <w:rStyle w:val="10"/>
          <w:rFonts w:hint="eastAsia" w:ascii="仿宋" w:hAnsi="仿宋" w:eastAsia="仿宋" w:cs="仿宋"/>
          <w:b w:val="0"/>
          <w:bCs w:val="0"/>
          <w:color w:val="auto"/>
          <w:szCs w:val="21"/>
          <w:highlight w:val="none"/>
          <w:u w:val="none"/>
          <w:lang w:val="zh-CN"/>
        </w:rPr>
        <w:t>】（投标人代表为法定代表人或单位负责人的投标人提供）；或法定代表人授权委托书</w:t>
      </w:r>
      <w:r>
        <w:rPr>
          <w:rStyle w:val="10"/>
          <w:rFonts w:hint="eastAsia" w:ascii="仿宋" w:hAnsi="仿宋" w:eastAsia="仿宋" w:cs="仿宋"/>
          <w:b w:val="0"/>
          <w:bCs w:val="0"/>
          <w:color w:val="auto"/>
          <w:szCs w:val="21"/>
          <w:highlight w:val="none"/>
          <w:u w:val="none"/>
        </w:rPr>
        <w:t>【</w:t>
      </w:r>
      <w:r>
        <w:rPr>
          <w:rStyle w:val="10"/>
          <w:rFonts w:hint="eastAsia" w:ascii="仿宋" w:hAnsi="仿宋" w:eastAsia="仿宋" w:cs="仿宋"/>
          <w:b w:val="0"/>
          <w:bCs w:val="0"/>
          <w:color w:val="auto"/>
          <w:szCs w:val="21"/>
          <w:highlight w:val="none"/>
          <w:lang w:val="zh-CN"/>
        </w:rPr>
        <w:t>详见招标文件附件</w:t>
      </w:r>
      <w:r>
        <w:rPr>
          <w:rStyle w:val="10"/>
          <w:rFonts w:hint="eastAsia" w:ascii="仿宋" w:hAnsi="仿宋" w:eastAsia="仿宋" w:cs="仿宋"/>
          <w:b w:val="0"/>
          <w:bCs w:val="0"/>
          <w:color w:val="auto"/>
          <w:szCs w:val="21"/>
          <w:highlight w:val="none"/>
          <w:u w:val="none"/>
        </w:rPr>
        <w:t>】</w:t>
      </w:r>
      <w:r>
        <w:rPr>
          <w:rStyle w:val="10"/>
          <w:rFonts w:hint="eastAsia" w:ascii="仿宋" w:hAnsi="仿宋" w:eastAsia="仿宋" w:cs="仿宋"/>
          <w:b w:val="0"/>
          <w:bCs w:val="0"/>
          <w:color w:val="auto"/>
          <w:szCs w:val="21"/>
          <w:highlight w:val="none"/>
          <w:lang w:val="zh-CN"/>
        </w:rPr>
        <w:t>（投标人代表为法定代表人或单位负责人授权代理人的投标人提供。</w:t>
      </w:r>
      <w:r>
        <w:rPr>
          <w:rStyle w:val="10"/>
          <w:rFonts w:hint="eastAsia" w:ascii="仿宋" w:hAnsi="仿宋" w:eastAsia="仿宋" w:cs="仿宋"/>
          <w:b w:val="0"/>
          <w:bCs w:val="0"/>
          <w:color w:val="auto"/>
          <w:szCs w:val="21"/>
          <w:highlight w:val="none"/>
        </w:rPr>
        <w:t>法定代表人（单位负责人）和授权代理人签字或盖章可书面签字或盖章后扫描至电子投标文件中上传</w:t>
      </w:r>
      <w:r>
        <w:rPr>
          <w:rStyle w:val="10"/>
          <w:rFonts w:hint="eastAsia" w:ascii="仿宋" w:hAnsi="仿宋" w:eastAsia="仿宋" w:cs="仿宋"/>
          <w:b w:val="0"/>
          <w:bCs w:val="0"/>
          <w:color w:val="auto"/>
          <w:szCs w:val="21"/>
          <w:highlight w:val="none"/>
          <w:lang w:val="zh-CN"/>
        </w:rPr>
        <w:t>）；</w:t>
      </w:r>
    </w:p>
    <w:p w14:paraId="6922B0D0">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color w:val="auto"/>
          <w:sz w:val="21"/>
          <w:szCs w:val="21"/>
          <w:highlight w:val="none"/>
          <w:lang w:val="zh-CN"/>
        </w:rPr>
      </w:pPr>
      <w:r>
        <w:rPr>
          <w:rFonts w:hint="eastAsia" w:ascii="仿宋" w:hAnsi="仿宋" w:eastAsia="仿宋" w:cs="仿宋"/>
          <w:b w:val="0"/>
          <w:bCs w:val="0"/>
          <w:color w:val="auto"/>
          <w:sz w:val="21"/>
          <w:szCs w:val="21"/>
          <w:highlight w:val="none"/>
          <w:lang w:val="zh-CN"/>
        </w:rPr>
        <w:t>（</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lang w:val="zh-CN"/>
        </w:rPr>
        <w:t>参加招标活动</w:t>
      </w:r>
      <w:r>
        <w:rPr>
          <w:rFonts w:hint="eastAsia" w:ascii="仿宋" w:hAnsi="仿宋" w:eastAsia="仿宋" w:cs="仿宋"/>
          <w:b w:val="0"/>
          <w:bCs w:val="0"/>
          <w:color w:val="auto"/>
          <w:sz w:val="21"/>
          <w:szCs w:val="21"/>
          <w:highlight w:val="none"/>
          <w:lang w:val="en-US" w:eastAsia="zh-CN"/>
        </w:rPr>
        <w:t>近三</w:t>
      </w:r>
      <w:r>
        <w:rPr>
          <w:rFonts w:hint="eastAsia" w:ascii="仿宋" w:hAnsi="仿宋" w:eastAsia="仿宋" w:cs="仿宋"/>
          <w:b w:val="0"/>
          <w:bCs w:val="0"/>
          <w:color w:val="auto"/>
          <w:sz w:val="21"/>
          <w:szCs w:val="21"/>
          <w:highlight w:val="none"/>
          <w:lang w:val="zh-CN"/>
        </w:rPr>
        <w:t>年内在经营活动中无重大违法违规记录及重大违约事件的声明书【</w:t>
      </w:r>
      <w:r>
        <w:rPr>
          <w:rFonts w:hint="eastAsia" w:ascii="仿宋" w:hAnsi="仿宋" w:eastAsia="仿宋" w:cs="仿宋"/>
          <w:b w:val="0"/>
          <w:bCs w:val="0"/>
          <w:color w:val="auto"/>
          <w:sz w:val="21"/>
          <w:szCs w:val="21"/>
          <w:highlight w:val="none"/>
          <w:lang w:val="zh-CN" w:eastAsia="zh-CN"/>
        </w:rPr>
        <w:t>详见招标文件附件</w:t>
      </w:r>
      <w:r>
        <w:rPr>
          <w:rFonts w:hint="eastAsia" w:ascii="仿宋" w:hAnsi="仿宋" w:eastAsia="仿宋" w:cs="仿宋"/>
          <w:b w:val="0"/>
          <w:bCs w:val="0"/>
          <w:color w:val="auto"/>
          <w:sz w:val="21"/>
          <w:szCs w:val="21"/>
          <w:highlight w:val="none"/>
          <w:lang w:val="zh-CN"/>
        </w:rPr>
        <w:t>】。</w:t>
      </w:r>
    </w:p>
    <w:p w14:paraId="18C876A0">
      <w:pPr>
        <w:spacing w:line="460" w:lineRule="exact"/>
        <w:ind w:firstLine="422" w:firstLineChars="200"/>
        <w:rPr>
          <w:rFonts w:hint="eastAsia" w:ascii="仿宋" w:hAnsi="仿宋" w:eastAsia="仿宋" w:cs="仿宋"/>
          <w:b/>
          <w:color w:val="auto"/>
          <w:szCs w:val="21"/>
          <w:highlight w:val="none"/>
          <w:u w:val="single"/>
          <w:lang w:val="zh-CN"/>
        </w:rPr>
      </w:pPr>
      <w:r>
        <w:rPr>
          <w:rFonts w:hint="eastAsia" w:ascii="仿宋" w:hAnsi="仿宋" w:eastAsia="仿宋" w:cs="仿宋"/>
          <w:b/>
          <w:color w:val="auto"/>
          <w:szCs w:val="21"/>
          <w:highlight w:val="none"/>
          <w:u w:val="single"/>
          <w:lang w:val="zh-CN"/>
        </w:rPr>
        <w:t>▲注：以上（</w:t>
      </w:r>
      <w:r>
        <w:rPr>
          <w:rFonts w:hint="eastAsia" w:ascii="仿宋" w:hAnsi="仿宋" w:eastAsia="仿宋" w:cs="仿宋"/>
          <w:b/>
          <w:color w:val="auto"/>
          <w:szCs w:val="21"/>
          <w:highlight w:val="none"/>
          <w:u w:val="single"/>
          <w:lang w:val="en-US" w:eastAsia="zh-CN"/>
        </w:rPr>
        <w:t>1</w:t>
      </w:r>
      <w:r>
        <w:rPr>
          <w:rFonts w:hint="eastAsia" w:ascii="仿宋" w:hAnsi="仿宋" w:eastAsia="仿宋" w:cs="仿宋"/>
          <w:b/>
          <w:color w:val="auto"/>
          <w:szCs w:val="21"/>
          <w:highlight w:val="none"/>
          <w:u w:val="single"/>
          <w:lang w:val="zh-CN"/>
        </w:rPr>
        <w:t>）</w:t>
      </w:r>
      <w:r>
        <w:rPr>
          <w:rFonts w:hint="eastAsia" w:ascii="仿宋" w:hAnsi="仿宋" w:eastAsia="仿宋" w:cs="仿宋"/>
          <w:b/>
          <w:color w:val="auto"/>
          <w:szCs w:val="21"/>
          <w:highlight w:val="none"/>
          <w:u w:val="single"/>
          <w:lang w:val="en-US" w:eastAsia="zh-CN"/>
        </w:rPr>
        <w:t>-</w:t>
      </w:r>
      <w:r>
        <w:rPr>
          <w:rFonts w:hint="eastAsia" w:ascii="仿宋" w:hAnsi="仿宋" w:eastAsia="仿宋" w:cs="仿宋"/>
          <w:b/>
          <w:color w:val="auto"/>
          <w:szCs w:val="21"/>
          <w:highlight w:val="none"/>
          <w:u w:val="single"/>
          <w:lang w:val="zh-CN"/>
        </w:rPr>
        <w:t>（</w:t>
      </w:r>
      <w:r>
        <w:rPr>
          <w:rFonts w:hint="eastAsia" w:ascii="仿宋" w:hAnsi="仿宋" w:eastAsia="仿宋" w:cs="仿宋"/>
          <w:b/>
          <w:color w:val="auto"/>
          <w:szCs w:val="21"/>
          <w:highlight w:val="none"/>
          <w:u w:val="single"/>
          <w:lang w:val="en-US" w:eastAsia="zh-CN"/>
        </w:rPr>
        <w:t>4</w:t>
      </w:r>
      <w:r>
        <w:rPr>
          <w:rFonts w:hint="eastAsia" w:ascii="仿宋" w:hAnsi="仿宋" w:eastAsia="仿宋" w:cs="仿宋"/>
          <w:b/>
          <w:color w:val="auto"/>
          <w:szCs w:val="21"/>
          <w:highlight w:val="none"/>
          <w:u w:val="single"/>
          <w:lang w:val="zh-CN"/>
        </w:rPr>
        <w:t>）项内容构成完整的报名文件，要求提供复印件的，尽可能提供相关材料原件的扫描件。投标人未按上述要求完整提供全部有效证明材料导致报名审核不通过的，责任由投标人自行承担。</w:t>
      </w:r>
    </w:p>
    <w:p w14:paraId="18A10769">
      <w:pPr>
        <w:spacing w:line="460" w:lineRule="exact"/>
        <w:ind w:firstLine="420" w:firstLineChars="200"/>
        <w:rPr>
          <w:rFonts w:hint="eastAsia" w:ascii="仿宋" w:hAnsi="仿宋" w:eastAsia="仿宋" w:cs="仿宋"/>
          <w:color w:val="auto"/>
          <w:szCs w:val="21"/>
          <w:highlight w:val="none"/>
          <w:u w:val="single"/>
          <w:lang w:eastAsia="zh-CN"/>
        </w:rPr>
      </w:pPr>
      <w:bookmarkStart w:id="0" w:name="_Toc28359092"/>
      <w:bookmarkStart w:id="1" w:name="_Toc35393801"/>
      <w:bookmarkStart w:id="2" w:name="_Toc35393632"/>
      <w:bookmarkStart w:id="3" w:name="_Toc28359015"/>
      <w:r>
        <w:rPr>
          <w:rFonts w:hint="eastAsia" w:ascii="仿宋" w:hAnsi="仿宋" w:eastAsia="仿宋" w:cs="仿宋"/>
          <w:color w:val="auto"/>
          <w:szCs w:val="21"/>
          <w:highlight w:val="none"/>
          <w:lang w:val="en-US" w:eastAsia="zh-CN"/>
        </w:rPr>
        <w:t>（三）</w:t>
      </w:r>
      <w:r>
        <w:rPr>
          <w:rFonts w:hint="eastAsia" w:ascii="仿宋" w:hAnsi="仿宋" w:eastAsia="仿宋" w:cs="仿宋"/>
          <w:color w:val="auto"/>
          <w:szCs w:val="21"/>
          <w:highlight w:val="none"/>
          <w:lang w:eastAsia="zh-CN"/>
        </w:rPr>
        <w:t>招标文件获取方式及地址：线上获取。</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浙江省公款竞争性存放网上招标</w:t>
      </w:r>
      <w:r>
        <w:rPr>
          <w:rFonts w:hint="eastAsia" w:ascii="仿宋" w:hAnsi="仿宋" w:eastAsia="仿宋" w:cs="仿宋"/>
          <w:color w:val="auto"/>
          <w:szCs w:val="21"/>
          <w:highlight w:val="none"/>
        </w:rPr>
        <w:t>”平台（https://gkcf-login.czt.zj.gov.cn）</w:t>
      </w:r>
      <w:r>
        <w:rPr>
          <w:rFonts w:hint="eastAsia" w:ascii="仿宋" w:hAnsi="仿宋" w:eastAsia="仿宋" w:cs="仿宋"/>
          <w:color w:val="auto"/>
          <w:szCs w:val="21"/>
          <w:highlight w:val="none"/>
          <w:lang w:eastAsia="zh-CN"/>
        </w:rPr>
        <w:t>获取。</w:t>
      </w:r>
    </w:p>
    <w:p w14:paraId="3F0E79CE">
      <w:pPr>
        <w:widowControl/>
        <w:spacing w:line="460" w:lineRule="exact"/>
        <w:ind w:firstLine="422" w:firstLineChars="200"/>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七、</w:t>
      </w:r>
      <w:bookmarkEnd w:id="0"/>
      <w:bookmarkEnd w:id="1"/>
      <w:bookmarkEnd w:id="2"/>
      <w:bookmarkEnd w:id="3"/>
      <w:r>
        <w:rPr>
          <w:rFonts w:hint="eastAsia" w:ascii="仿宋" w:hAnsi="仿宋" w:eastAsia="仿宋" w:cs="仿宋"/>
          <w:b/>
          <w:color w:val="auto"/>
          <w:szCs w:val="21"/>
          <w:highlight w:val="none"/>
          <w:lang w:eastAsia="zh-CN"/>
        </w:rPr>
        <w:t>投标起止时间及地点</w:t>
      </w:r>
    </w:p>
    <w:p w14:paraId="2CE7052E">
      <w:pPr>
        <w:spacing w:line="460" w:lineRule="exact"/>
        <w:ind w:firstLine="420" w:firstLineChars="200"/>
        <w:rPr>
          <w:rFonts w:hint="eastAsia" w:ascii="仿宋" w:hAnsi="仿宋" w:eastAsia="仿宋" w:cs="仿宋"/>
          <w:bCs/>
          <w:color w:val="auto"/>
          <w:szCs w:val="21"/>
          <w:highlight w:val="none"/>
          <w:u w:val="single"/>
        </w:rPr>
      </w:pPr>
      <w:r>
        <w:rPr>
          <w:rFonts w:hint="eastAsia" w:ascii="仿宋" w:hAnsi="仿宋" w:eastAsia="仿宋" w:cs="仿宋"/>
          <w:color w:val="auto"/>
          <w:szCs w:val="21"/>
          <w:highlight w:val="none"/>
          <w:lang w:eastAsia="zh-CN"/>
        </w:rPr>
        <w:t>起</w:t>
      </w:r>
      <w:r>
        <w:rPr>
          <w:rFonts w:hint="eastAsia" w:ascii="仿宋" w:hAnsi="仿宋" w:eastAsia="仿宋" w:cs="仿宋"/>
          <w:color w:val="auto"/>
          <w:szCs w:val="21"/>
          <w:highlight w:val="none"/>
        </w:rPr>
        <w:t>止时间：</w:t>
      </w:r>
      <w:r>
        <w:rPr>
          <w:rFonts w:hint="eastAsia" w:ascii="仿宋" w:hAnsi="仿宋" w:eastAsia="仿宋" w:cs="仿宋"/>
          <w:b/>
          <w:bCs/>
          <w:color w:val="auto"/>
          <w:spacing w:val="11"/>
          <w:sz w:val="21"/>
          <w:highlight w:val="none"/>
          <w:lang w:eastAsia="zh-CN"/>
        </w:rPr>
        <w:t>2026年</w:t>
      </w:r>
      <w:r>
        <w:rPr>
          <w:rFonts w:hint="eastAsia" w:ascii="仿宋" w:hAnsi="仿宋" w:eastAsia="仿宋" w:cs="仿宋"/>
          <w:b/>
          <w:bCs/>
          <w:color w:val="auto"/>
          <w:spacing w:val="11"/>
          <w:sz w:val="21"/>
          <w:highlight w:val="none"/>
          <w:lang w:val="en-US" w:eastAsia="zh-CN"/>
        </w:rPr>
        <w:t>03</w:t>
      </w:r>
      <w:r>
        <w:rPr>
          <w:rFonts w:hint="eastAsia" w:ascii="仿宋" w:hAnsi="仿宋" w:eastAsia="仿宋" w:cs="仿宋"/>
          <w:b/>
          <w:bCs/>
          <w:color w:val="auto"/>
          <w:spacing w:val="11"/>
          <w:sz w:val="21"/>
          <w:highlight w:val="none"/>
          <w:lang w:eastAsia="zh-CN"/>
        </w:rPr>
        <w:t>月</w:t>
      </w:r>
      <w:r>
        <w:rPr>
          <w:rFonts w:hint="eastAsia" w:ascii="仿宋" w:hAnsi="仿宋" w:eastAsia="仿宋" w:cs="仿宋"/>
          <w:b/>
          <w:bCs/>
          <w:color w:val="auto"/>
          <w:spacing w:val="11"/>
          <w:sz w:val="21"/>
          <w:highlight w:val="none"/>
          <w:lang w:val="en-US" w:eastAsia="zh-CN"/>
        </w:rPr>
        <w:t>12</w:t>
      </w:r>
      <w:r>
        <w:rPr>
          <w:rFonts w:hint="eastAsia" w:ascii="仿宋" w:hAnsi="仿宋" w:eastAsia="仿宋" w:cs="仿宋"/>
          <w:b/>
          <w:bCs/>
          <w:color w:val="auto"/>
          <w:spacing w:val="11"/>
          <w:sz w:val="21"/>
          <w:highlight w:val="none"/>
          <w:lang w:eastAsia="zh-CN"/>
        </w:rPr>
        <w:t>日</w:t>
      </w:r>
      <w:r>
        <w:rPr>
          <w:rFonts w:hint="eastAsia" w:ascii="仿宋" w:hAnsi="仿宋" w:eastAsia="仿宋" w:cs="仿宋"/>
          <w:color w:val="auto"/>
          <w:szCs w:val="21"/>
          <w:highlight w:val="none"/>
        </w:rPr>
        <w:t>至</w:t>
      </w:r>
      <w:r>
        <w:rPr>
          <w:rFonts w:hint="eastAsia" w:ascii="仿宋" w:hAnsi="仿宋" w:eastAsia="仿宋" w:cs="仿宋"/>
          <w:b/>
          <w:bCs/>
          <w:color w:val="auto"/>
          <w:spacing w:val="11"/>
          <w:sz w:val="21"/>
          <w:highlight w:val="none"/>
          <w:lang w:eastAsia="zh-CN"/>
        </w:rPr>
        <w:t>2026年03月20日14：30</w:t>
      </w:r>
      <w:r>
        <w:rPr>
          <w:rFonts w:hint="eastAsia" w:ascii="仿宋" w:hAnsi="仿宋" w:eastAsia="仿宋" w:cs="仿宋"/>
          <w:color w:val="auto"/>
          <w:szCs w:val="21"/>
          <w:highlight w:val="none"/>
        </w:rPr>
        <w:t>（北京时间）前将</w:t>
      </w:r>
      <w:r>
        <w:rPr>
          <w:rFonts w:hint="eastAsia" w:ascii="仿宋" w:hAnsi="仿宋" w:eastAsia="仿宋" w:cs="仿宋"/>
          <w:color w:val="auto"/>
          <w:szCs w:val="21"/>
          <w:highlight w:val="none"/>
          <w:lang w:eastAsia="zh-CN"/>
        </w:rPr>
        <w:t>电子投标文件</w:t>
      </w:r>
      <w:r>
        <w:rPr>
          <w:rFonts w:hint="eastAsia" w:ascii="仿宋" w:hAnsi="仿宋" w:eastAsia="仿宋" w:cs="仿宋"/>
          <w:color w:val="auto"/>
          <w:szCs w:val="21"/>
          <w:highlight w:val="none"/>
        </w:rPr>
        <w:t>通过“政采云电子投标客户端”上传至政采云平台，逾期上传的将予以拒收。</w:t>
      </w:r>
    </w:p>
    <w:p w14:paraId="16802F05">
      <w:pPr>
        <w:spacing w:line="460" w:lineRule="exact"/>
        <w:ind w:firstLine="420" w:firstLineChars="200"/>
        <w:rPr>
          <w:rFonts w:hint="eastAsia" w:ascii="仿宋" w:hAnsi="仿宋" w:eastAsia="仿宋" w:cs="仿宋"/>
          <w:bCs/>
          <w:color w:val="auto"/>
          <w:szCs w:val="21"/>
          <w:highlight w:val="none"/>
          <w:u w:val="single"/>
        </w:rPr>
      </w:pPr>
      <w:r>
        <w:rPr>
          <w:rFonts w:hint="eastAsia" w:ascii="仿宋" w:hAnsi="仿宋" w:eastAsia="仿宋" w:cs="仿宋"/>
          <w:color w:val="auto"/>
          <w:szCs w:val="21"/>
          <w:highlight w:val="none"/>
          <w:lang w:eastAsia="zh-CN"/>
        </w:rPr>
        <w:t>地点</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浙江省公款竞争性存放网上招标</w:t>
      </w:r>
      <w:r>
        <w:rPr>
          <w:rFonts w:hint="eastAsia" w:ascii="仿宋" w:hAnsi="仿宋" w:eastAsia="仿宋" w:cs="仿宋"/>
          <w:color w:val="auto"/>
          <w:szCs w:val="21"/>
          <w:highlight w:val="none"/>
        </w:rPr>
        <w:t>”平台（https://gkcf-login.czt.zj.gov.cn）在线提交（上传）。</w:t>
      </w:r>
    </w:p>
    <w:p w14:paraId="7DA0D88E">
      <w:pPr>
        <w:widowControl/>
        <w:spacing w:line="460" w:lineRule="exact"/>
        <w:ind w:firstLine="422" w:firstLineChars="200"/>
        <w:rPr>
          <w:rFonts w:hint="eastAsia" w:ascii="仿宋" w:hAnsi="仿宋" w:eastAsia="仿宋" w:cs="仿宋"/>
          <w:b/>
          <w:color w:val="auto"/>
          <w:szCs w:val="21"/>
          <w:highlight w:val="none"/>
        </w:rPr>
      </w:pPr>
      <w:bookmarkStart w:id="4" w:name="_Toc35393633"/>
      <w:bookmarkStart w:id="5" w:name="_Toc28359016"/>
      <w:bookmarkStart w:id="6" w:name="_Toc28359093"/>
      <w:bookmarkStart w:id="7" w:name="_Toc35393802"/>
      <w:r>
        <w:rPr>
          <w:rFonts w:hint="eastAsia" w:ascii="仿宋" w:hAnsi="仿宋" w:eastAsia="仿宋" w:cs="仿宋"/>
          <w:b/>
          <w:color w:val="auto"/>
          <w:szCs w:val="21"/>
          <w:highlight w:val="none"/>
          <w:lang w:eastAsia="zh-CN"/>
        </w:rPr>
        <w:t>八</w:t>
      </w:r>
      <w:r>
        <w:rPr>
          <w:rFonts w:hint="eastAsia" w:ascii="仿宋" w:hAnsi="仿宋" w:eastAsia="仿宋" w:cs="仿宋"/>
          <w:b/>
          <w:color w:val="auto"/>
          <w:szCs w:val="21"/>
          <w:highlight w:val="none"/>
        </w:rPr>
        <w:t>、</w:t>
      </w:r>
      <w:bookmarkEnd w:id="4"/>
      <w:bookmarkEnd w:id="5"/>
      <w:bookmarkEnd w:id="6"/>
      <w:bookmarkEnd w:id="7"/>
      <w:r>
        <w:rPr>
          <w:rFonts w:hint="eastAsia" w:ascii="仿宋" w:hAnsi="仿宋" w:eastAsia="仿宋" w:cs="仿宋"/>
          <w:b/>
          <w:color w:val="auto"/>
          <w:szCs w:val="21"/>
          <w:highlight w:val="none"/>
          <w:lang w:eastAsia="zh-CN"/>
        </w:rPr>
        <w:t>开标时间及地点</w:t>
      </w:r>
    </w:p>
    <w:p w14:paraId="430B9D18">
      <w:pPr>
        <w:spacing w:line="460" w:lineRule="exact"/>
        <w:ind w:firstLine="422" w:firstLineChars="200"/>
        <w:rPr>
          <w:rFonts w:hint="eastAsia" w:ascii="仿宋" w:hAnsi="仿宋" w:eastAsia="仿宋" w:cs="仿宋"/>
          <w:bCs/>
          <w:color w:val="auto"/>
          <w:szCs w:val="21"/>
          <w:highlight w:val="none"/>
          <w:u w:val="single"/>
        </w:rPr>
      </w:pPr>
      <w:r>
        <w:rPr>
          <w:rFonts w:hint="eastAsia" w:ascii="仿宋" w:hAnsi="仿宋" w:eastAsia="仿宋" w:cs="仿宋"/>
          <w:b/>
          <w:bCs/>
          <w:color w:val="auto"/>
          <w:szCs w:val="21"/>
          <w:highlight w:val="none"/>
        </w:rPr>
        <w:t>时间：</w:t>
      </w:r>
      <w:r>
        <w:rPr>
          <w:rFonts w:hint="eastAsia" w:ascii="仿宋" w:hAnsi="仿宋" w:eastAsia="仿宋" w:cs="仿宋"/>
          <w:b/>
          <w:bCs/>
          <w:color w:val="auto"/>
          <w:spacing w:val="11"/>
          <w:sz w:val="21"/>
          <w:highlight w:val="none"/>
          <w:lang w:eastAsia="zh-CN"/>
        </w:rPr>
        <w:t>2026年03月20日14：30</w:t>
      </w:r>
      <w:r>
        <w:rPr>
          <w:rFonts w:hint="eastAsia" w:ascii="仿宋" w:hAnsi="仿宋" w:eastAsia="仿宋" w:cs="仿宋"/>
          <w:b/>
          <w:bCs/>
          <w:color w:val="auto"/>
          <w:szCs w:val="21"/>
          <w:highlight w:val="none"/>
        </w:rPr>
        <w:t>（北京时间）</w:t>
      </w:r>
    </w:p>
    <w:p w14:paraId="33A2CC4F">
      <w:pPr>
        <w:spacing w:line="46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地点：</w:t>
      </w:r>
      <w:r>
        <w:rPr>
          <w:rFonts w:hint="eastAsia" w:ascii="仿宋" w:hAnsi="仿宋" w:eastAsia="仿宋" w:cs="仿宋"/>
          <w:color w:val="auto"/>
          <w:sz w:val="21"/>
          <w:szCs w:val="21"/>
          <w:highlight w:val="none"/>
          <w:lang w:eastAsia="zh-CN"/>
        </w:rPr>
        <w:t>浙江哲晟工程项目管理有限公司开标室（</w:t>
      </w:r>
      <w:r>
        <w:rPr>
          <w:rFonts w:hint="eastAsia" w:ascii="仿宋" w:hAnsi="仿宋" w:eastAsia="仿宋" w:cs="仿宋"/>
          <w:color w:val="auto"/>
          <w:sz w:val="21"/>
          <w:szCs w:val="21"/>
          <w:highlight w:val="none"/>
          <w:shd w:val="clear" w:color="auto" w:fill="auto"/>
        </w:rPr>
        <w:t>浙江省</w:t>
      </w:r>
      <w:r>
        <w:rPr>
          <w:rFonts w:hint="eastAsia" w:ascii="仿宋" w:hAnsi="仿宋" w:eastAsia="仿宋" w:cs="仿宋"/>
          <w:color w:val="auto"/>
          <w:sz w:val="21"/>
          <w:szCs w:val="21"/>
          <w:highlight w:val="none"/>
          <w:shd w:val="clear" w:color="auto" w:fill="auto"/>
          <w:lang w:eastAsia="zh-CN"/>
        </w:rPr>
        <w:t>衢州市</w:t>
      </w:r>
      <w:r>
        <w:rPr>
          <w:rFonts w:hint="eastAsia" w:ascii="仿宋" w:hAnsi="仿宋" w:eastAsia="仿宋" w:cs="仿宋"/>
          <w:color w:val="auto"/>
          <w:sz w:val="21"/>
          <w:szCs w:val="21"/>
          <w:highlight w:val="none"/>
        </w:rPr>
        <w:t>常山县天马街道定阳南路859幢</w:t>
      </w:r>
      <w:r>
        <w:rPr>
          <w:rFonts w:hint="eastAsia" w:ascii="仿宋" w:hAnsi="仿宋" w:eastAsia="仿宋" w:cs="仿宋"/>
          <w:color w:val="auto"/>
          <w:sz w:val="21"/>
          <w:szCs w:val="21"/>
          <w:highlight w:val="none"/>
          <w:lang w:eastAsia="zh-CN"/>
        </w:rPr>
        <w:t>4</w:t>
      </w:r>
      <w:r>
        <w:rPr>
          <w:rFonts w:hint="eastAsia" w:ascii="仿宋" w:hAnsi="仿宋" w:eastAsia="仿宋" w:cs="仿宋"/>
          <w:color w:val="auto"/>
          <w:sz w:val="21"/>
          <w:szCs w:val="21"/>
          <w:highlight w:val="none"/>
          <w:lang w:val="en-US" w:eastAsia="zh-CN"/>
        </w:rPr>
        <w:t>32</w:t>
      </w:r>
      <w:r>
        <w:rPr>
          <w:rFonts w:hint="eastAsia" w:ascii="仿宋" w:hAnsi="仿宋" w:eastAsia="仿宋" w:cs="仿宋"/>
          <w:color w:val="auto"/>
          <w:sz w:val="21"/>
          <w:szCs w:val="21"/>
          <w:highlight w:val="none"/>
          <w:lang w:eastAsia="zh-CN"/>
        </w:rPr>
        <w:t>-43</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室</w:t>
      </w:r>
      <w:r>
        <w:rPr>
          <w:rFonts w:hint="eastAsia" w:ascii="仿宋" w:hAnsi="仿宋" w:eastAsia="仿宋" w:cs="仿宋"/>
          <w:color w:val="auto"/>
          <w:sz w:val="21"/>
          <w:szCs w:val="21"/>
          <w:highlight w:val="none"/>
          <w:lang w:eastAsia="zh-CN"/>
        </w:rPr>
        <w:t>）；“浙江省公款竞争性存放网上招标”平台（https://gkcf-login.czt.zj.gov.cn）</w:t>
      </w:r>
      <w:r>
        <w:rPr>
          <w:rFonts w:hint="eastAsia" w:ascii="仿宋" w:hAnsi="仿宋" w:eastAsia="仿宋" w:cs="仿宋"/>
          <w:color w:val="auto"/>
          <w:szCs w:val="21"/>
          <w:highlight w:val="none"/>
        </w:rPr>
        <w:t>在线开、评标</w:t>
      </w:r>
      <w:r>
        <w:rPr>
          <w:rFonts w:hint="eastAsia" w:ascii="仿宋" w:hAnsi="仿宋" w:eastAsia="仿宋" w:cs="仿宋"/>
          <w:color w:val="auto"/>
          <w:szCs w:val="21"/>
          <w:highlight w:val="none"/>
          <w:lang w:eastAsia="zh-CN"/>
        </w:rPr>
        <w:t>。</w:t>
      </w:r>
    </w:p>
    <w:p w14:paraId="51491B6B">
      <w:pPr>
        <w:spacing w:line="460" w:lineRule="exact"/>
        <w:ind w:firstLine="420" w:firstLineChars="200"/>
        <w:rPr>
          <w:rFonts w:hint="eastAsia" w:ascii="仿宋" w:hAnsi="仿宋" w:eastAsia="仿宋" w:cs="仿宋"/>
          <w:bCs/>
          <w:color w:val="auto"/>
          <w:szCs w:val="21"/>
          <w:highlight w:val="none"/>
          <w:u w:val="single"/>
          <w:lang w:eastAsia="zh-CN"/>
        </w:rPr>
      </w:pPr>
      <w:r>
        <w:rPr>
          <w:rFonts w:hint="eastAsia" w:ascii="仿宋" w:hAnsi="仿宋" w:eastAsia="仿宋" w:cs="仿宋"/>
          <w:color w:val="auto"/>
          <w:szCs w:val="21"/>
          <w:highlight w:val="none"/>
        </w:rPr>
        <w:t>本项目实行网上电子</w:t>
      </w:r>
      <w:r>
        <w:rPr>
          <w:rFonts w:hint="eastAsia" w:ascii="仿宋" w:hAnsi="仿宋" w:eastAsia="仿宋" w:cs="仿宋"/>
          <w:color w:val="auto"/>
          <w:szCs w:val="21"/>
          <w:highlight w:val="none"/>
          <w:lang w:eastAsia="zh-CN"/>
        </w:rPr>
        <w:t>开评</w:t>
      </w:r>
      <w:r>
        <w:rPr>
          <w:rFonts w:hint="eastAsia" w:ascii="仿宋" w:hAnsi="仿宋" w:eastAsia="仿宋" w:cs="仿宋"/>
          <w:color w:val="auto"/>
          <w:szCs w:val="21"/>
          <w:highlight w:val="none"/>
        </w:rPr>
        <w:t>标</w:t>
      </w:r>
      <w:r>
        <w:rPr>
          <w:rFonts w:hint="eastAsia" w:ascii="仿宋" w:hAnsi="仿宋" w:eastAsia="仿宋" w:cs="仿宋"/>
          <w:color w:val="auto"/>
          <w:szCs w:val="21"/>
          <w:highlight w:val="none"/>
          <w:lang w:eastAsia="zh-CN"/>
        </w:rPr>
        <w:t>，投标人代表无需到达开标现场。</w:t>
      </w:r>
      <w:bookmarkStart w:id="8" w:name="_GoBack"/>
      <w:bookmarkEnd w:id="8"/>
    </w:p>
    <w:p w14:paraId="209ED067">
      <w:pPr>
        <w:pageBreakBefore w:val="0"/>
        <w:kinsoku/>
        <w:wordWrap w:val="0"/>
        <w:topLinePunct w:val="0"/>
        <w:bidi w:val="0"/>
        <w:snapToGrid/>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eastAsia="zh-CN"/>
        </w:rPr>
        <w:t>九、</w:t>
      </w:r>
      <w:r>
        <w:rPr>
          <w:rFonts w:hint="eastAsia" w:ascii="仿宋" w:hAnsi="仿宋" w:eastAsia="仿宋" w:cs="仿宋"/>
          <w:b/>
          <w:color w:val="auto"/>
          <w:sz w:val="21"/>
          <w:szCs w:val="21"/>
          <w:highlight w:val="none"/>
        </w:rPr>
        <w:t>联系方式</w:t>
      </w:r>
    </w:p>
    <w:p w14:paraId="6B953579">
      <w:pPr>
        <w:pStyle w:val="5"/>
        <w:spacing w:before="0" w:beforeAutospacing="0" w:after="0" w:afterAutospacing="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1.招标人信息</w:t>
      </w:r>
    </w:p>
    <w:p w14:paraId="4F422FF5">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招标人：常山县辉埠镇人民政府</w:t>
      </w:r>
    </w:p>
    <w:p w14:paraId="67B281D1">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地址：浙江省衢州市常山县辉埠镇</w:t>
      </w:r>
    </w:p>
    <w:p w14:paraId="2B94135B">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项目联系人：何丽英</w:t>
      </w:r>
    </w:p>
    <w:p w14:paraId="465771F7">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联系电话：0570-5095022</w:t>
      </w:r>
    </w:p>
    <w:p w14:paraId="2E97D3CD">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代理机构信息</w:t>
      </w:r>
    </w:p>
    <w:p w14:paraId="3BD9571F">
      <w:pPr>
        <w:pStyle w:val="5"/>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代理机构：</w:t>
      </w:r>
      <w:r>
        <w:rPr>
          <w:rFonts w:hint="eastAsia" w:ascii="仿宋" w:hAnsi="仿宋" w:eastAsia="仿宋" w:cs="仿宋"/>
          <w:color w:val="auto"/>
          <w:sz w:val="21"/>
          <w:szCs w:val="21"/>
          <w:highlight w:val="none"/>
          <w:lang w:eastAsia="zh-CN"/>
        </w:rPr>
        <w:t>浙江哲晟工程项目管理有限公司</w:t>
      </w:r>
    </w:p>
    <w:p w14:paraId="5A5787C5">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shd w:val="clear" w:color="auto" w:fill="auto"/>
        </w:rPr>
        <w:t>浙江省</w:t>
      </w:r>
      <w:r>
        <w:rPr>
          <w:rFonts w:hint="eastAsia" w:ascii="仿宋" w:hAnsi="仿宋" w:eastAsia="仿宋" w:cs="仿宋"/>
          <w:color w:val="auto"/>
          <w:sz w:val="21"/>
          <w:szCs w:val="21"/>
          <w:highlight w:val="none"/>
          <w:shd w:val="clear" w:color="auto" w:fill="auto"/>
          <w:lang w:eastAsia="zh-CN"/>
        </w:rPr>
        <w:t>衢州市</w:t>
      </w:r>
      <w:r>
        <w:rPr>
          <w:rFonts w:hint="eastAsia" w:ascii="仿宋" w:hAnsi="仿宋" w:eastAsia="仿宋" w:cs="仿宋"/>
          <w:color w:val="auto"/>
          <w:sz w:val="21"/>
          <w:szCs w:val="21"/>
          <w:highlight w:val="none"/>
        </w:rPr>
        <w:t>常山县天马街道定阳南路859幢</w:t>
      </w:r>
      <w:r>
        <w:rPr>
          <w:rFonts w:hint="eastAsia" w:ascii="仿宋" w:hAnsi="仿宋" w:eastAsia="仿宋" w:cs="仿宋"/>
          <w:color w:val="auto"/>
          <w:sz w:val="21"/>
          <w:szCs w:val="21"/>
          <w:highlight w:val="none"/>
          <w:lang w:eastAsia="zh-CN"/>
        </w:rPr>
        <w:t>4</w:t>
      </w:r>
      <w:r>
        <w:rPr>
          <w:rFonts w:hint="eastAsia" w:ascii="仿宋" w:hAnsi="仿宋" w:eastAsia="仿宋" w:cs="仿宋"/>
          <w:color w:val="auto"/>
          <w:sz w:val="21"/>
          <w:szCs w:val="21"/>
          <w:highlight w:val="none"/>
          <w:lang w:val="en-US" w:eastAsia="zh-CN"/>
        </w:rPr>
        <w:t>32</w:t>
      </w:r>
      <w:r>
        <w:rPr>
          <w:rFonts w:hint="eastAsia" w:ascii="仿宋" w:hAnsi="仿宋" w:eastAsia="仿宋" w:cs="仿宋"/>
          <w:color w:val="auto"/>
          <w:sz w:val="21"/>
          <w:szCs w:val="21"/>
          <w:highlight w:val="none"/>
          <w:lang w:eastAsia="zh-CN"/>
        </w:rPr>
        <w:t>-43</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室</w:t>
      </w:r>
    </w:p>
    <w:p w14:paraId="0CA7DECB">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项目</w:t>
      </w: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lang w:eastAsia="zh-CN"/>
        </w:rPr>
        <w:t>余佳丽</w:t>
      </w:r>
    </w:p>
    <w:p w14:paraId="59345726">
      <w:pPr>
        <w:pStyle w:val="5"/>
        <w:pageBreakBefore w:val="0"/>
        <w:kinsoku/>
        <w:topLinePunct w:val="0"/>
        <w:bidi w:val="0"/>
        <w:snapToGrid/>
        <w:spacing w:before="0" w:beforeLines="0" w:beforeAutospacing="0" w:after="0" w:afterLines="0" w:afterAutospacing="0"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联系电话：0570-5016</w:t>
      </w:r>
      <w:r>
        <w:rPr>
          <w:rFonts w:hint="eastAsia" w:ascii="仿宋" w:hAnsi="仿宋" w:eastAsia="仿宋" w:cs="仿宋"/>
          <w:color w:val="auto"/>
          <w:sz w:val="21"/>
          <w:szCs w:val="21"/>
          <w:highlight w:val="none"/>
          <w:lang w:val="en-US" w:eastAsia="zh-CN"/>
        </w:rPr>
        <w:t>289</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13567051997</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521997</w:t>
      </w:r>
      <w:r>
        <w:rPr>
          <w:rFonts w:hint="eastAsia" w:ascii="仿宋" w:hAnsi="仿宋" w:eastAsia="仿宋" w:cs="仿宋"/>
          <w:color w:val="auto"/>
          <w:sz w:val="21"/>
          <w:szCs w:val="21"/>
          <w:highlight w:val="none"/>
        </w:rPr>
        <w:t>）</w:t>
      </w:r>
    </w:p>
    <w:p w14:paraId="5AAD4155">
      <w:pPr>
        <w:pStyle w:val="5"/>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color w:val="auto"/>
          <w:sz w:val="21"/>
          <w:szCs w:val="21"/>
          <w:highlight w:val="none"/>
          <w:lang w:eastAsia="zh-CN"/>
        </w:rPr>
      </w:pPr>
    </w:p>
    <w:p w14:paraId="6E4F3FCA">
      <w:pPr>
        <w:pStyle w:val="5"/>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color w:val="auto"/>
          <w:sz w:val="21"/>
          <w:szCs w:val="21"/>
          <w:highlight w:val="none"/>
          <w:lang w:eastAsia="zh-CN"/>
        </w:rPr>
      </w:pPr>
    </w:p>
    <w:p w14:paraId="3DBBD46A">
      <w:pPr>
        <w:pStyle w:val="5"/>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常山县辉埠镇人民政府</w:t>
      </w:r>
    </w:p>
    <w:p w14:paraId="13E2E099">
      <w:pPr>
        <w:pStyle w:val="5"/>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浙江哲晟工程项目管理有限公司</w:t>
      </w:r>
    </w:p>
    <w:p w14:paraId="0F252DDA">
      <w:pPr>
        <w:pStyle w:val="5"/>
        <w:pageBreakBefore w:val="0"/>
        <w:kinsoku/>
        <w:topLinePunct w:val="0"/>
        <w:bidi w:val="0"/>
        <w:snapToGrid/>
        <w:spacing w:before="0" w:beforeLines="0" w:beforeAutospacing="0" w:after="0" w:afterLines="0" w:afterAutospacing="0" w:line="360" w:lineRule="auto"/>
        <w:ind w:firstLine="420" w:firstLineChars="200"/>
        <w:jc w:val="righ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lang w:eastAsia="zh-CN"/>
        </w:rPr>
        <w:t>年</w:t>
      </w:r>
      <w:r>
        <w:rPr>
          <w:rFonts w:hint="eastAsia" w:ascii="仿宋" w:hAnsi="仿宋" w:eastAsia="仿宋" w:cs="仿宋"/>
          <w:color w:val="auto"/>
          <w:sz w:val="21"/>
          <w:szCs w:val="21"/>
          <w:highlight w:val="none"/>
          <w:lang w:val="en-US" w:eastAsia="zh-CN"/>
        </w:rPr>
        <w:t>03</w:t>
      </w:r>
      <w:r>
        <w:rPr>
          <w:rFonts w:hint="eastAsia" w:ascii="仿宋" w:hAnsi="仿宋" w:eastAsia="仿宋" w:cs="仿宋"/>
          <w:color w:val="auto"/>
          <w:sz w:val="21"/>
          <w:szCs w:val="21"/>
          <w:highlight w:val="none"/>
          <w:lang w:eastAsia="zh-CN"/>
        </w:rPr>
        <w:t>月</w:t>
      </w:r>
    </w:p>
    <w:p w14:paraId="59248D46">
      <w:pPr>
        <w:rPr>
          <w:color w:val="auto"/>
          <w:highlight w:val="none"/>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ADC1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0E8A8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0E8A8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85CA8"/>
    <w:multiLevelType w:val="singleLevel"/>
    <w:tmpl w:val="EF385CA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044729"/>
    <w:rsid w:val="1644640A"/>
    <w:rsid w:val="261671CE"/>
    <w:rsid w:val="40044729"/>
    <w:rsid w:val="51D63CC4"/>
    <w:rsid w:val="6C501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2"/>
    <w:basedOn w:val="1"/>
    <w:next w:val="1"/>
    <w:qFormat/>
    <w:uiPriority w:val="39"/>
    <w:pPr>
      <w:ind w:left="420" w:leftChars="200"/>
    </w:pPr>
  </w:style>
  <w:style w:type="paragraph" w:styleId="5">
    <w:name w:val="Normal (Web)"/>
    <w:basedOn w:val="1"/>
    <w:next w:val="4"/>
    <w:qFormat/>
    <w:uiPriority w:val="0"/>
    <w:pPr>
      <w:widowControl/>
      <w:spacing w:before="100" w:beforeLines="0" w:beforeAutospacing="1" w:after="100" w:afterLines="0" w:afterAutospacing="1"/>
      <w:jc w:val="left"/>
    </w:pPr>
    <w:rPr>
      <w:rFonts w:ascii="宋体" w:hAnsi="宋体"/>
      <w:kern w:val="0"/>
      <w:sz w:val="24"/>
    </w:rPr>
  </w:style>
  <w:style w:type="paragraph" w:styleId="6">
    <w:name w:val="Title"/>
    <w:basedOn w:val="1"/>
    <w:next w:val="1"/>
    <w:qFormat/>
    <w:uiPriority w:val="99"/>
    <w:pPr>
      <w:jc w:val="center"/>
    </w:pPr>
    <w:rPr>
      <w:rFonts w:ascii="Arial" w:hAnsi="Arial"/>
      <w:b/>
      <w:kern w:val="0"/>
      <w:sz w:val="36"/>
      <w:szCs w:val="20"/>
      <w:lang w:eastAsia="en-U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1394</Words>
  <Characters>1624</Characters>
  <Lines>0</Lines>
  <Paragraphs>0</Paragraphs>
  <TotalTime>0</TotalTime>
  <ScaleCrop>false</ScaleCrop>
  <LinksUpToDate>false</LinksUpToDate>
  <CharactersWithSpaces>1627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2026-03-10T02:55:00Z</dcterms:created>
  <dc:creator>余佳丽</dc:creator>
  <cp:lastModifiedBy>余佳丽</cp:lastModifiedBy>
  <dcterms:modified xsi:type="dcterms:W3CDTF">2026-03-12T06:50:22Z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68AC5D0732CD4169A6D1FAA83E10DD83_11</vt:lpwstr>
  </property>
  <property fmtid="{D5CDD505-2E9C-101B-9397-08002B2CF9AE}" pid="4" name="KSOTemplateDocerSaveRecord">
    <vt:lpwstr>eyJoZGlkIjoiOWQyMDJmYjVmODNlMWNkZDdjZmMyOTk1OGJlYTQzM2IiLCJ1c2VySWQiOiI0NDg2ODUxNDQifQ==</vt:lpwstr>
  </property>
</Properties>
</file>