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2004">
      <w:pPr>
        <w:widowControl/>
        <w:shd w:val="clear" w:color="auto" w:fill="FFFFFF"/>
        <w:spacing w:before="100" w:after="270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  <w:lang w:eastAsia="zh-CN"/>
        </w:rPr>
        <w:t xml:space="preserve"> 2026年（第一期）嘉兴市住房公积金管理服务中心平湖分中心资金竞争性存放项目</w:t>
      </w:r>
      <w:r>
        <w:rPr>
          <w:rFonts w:hint="eastAsia" w:asciiTheme="minorEastAsia" w:hAnsiTheme="minorEastAsia"/>
          <w:b/>
          <w:color w:val="000000"/>
          <w:sz w:val="28"/>
          <w:szCs w:val="28"/>
        </w:rPr>
        <w:t>的中标公告</w:t>
      </w:r>
    </w:p>
    <w:p w14:paraId="77C087E5">
      <w:pPr>
        <w:widowControl/>
        <w:spacing w:before="75" w:after="75"/>
        <w:jc w:val="left"/>
        <w:rPr>
          <w:rFonts w:cs="Arial" w:asciiTheme="minorEastAsia" w:hAnsiTheme="minorEastAsia"/>
          <w:color w:val="000000"/>
          <w:kern w:val="0"/>
          <w:szCs w:val="21"/>
        </w:rPr>
      </w:pPr>
      <w:r>
        <w:rPr>
          <w:rFonts w:cs="Arial" w:asciiTheme="minorEastAsia" w:hAnsiTheme="minorEastAsia"/>
          <w:b/>
          <w:bCs/>
          <w:color w:val="000000"/>
          <w:kern w:val="0"/>
          <w:szCs w:val="21"/>
        </w:rPr>
        <w:t>一、招标人名称：</w:t>
      </w:r>
      <w:r>
        <w:rPr>
          <w:rFonts w:hint="eastAsia" w:ascii="Arial" w:hAnsi="Arial" w:cs="Arial"/>
          <w:color w:val="000000"/>
          <w:lang w:eastAsia="zh-CN"/>
        </w:rPr>
        <w:t xml:space="preserve">嘉兴市住房公积金管理服务中心平湖分中心   </w:t>
      </w:r>
      <w:r>
        <w:rPr>
          <w:rFonts w:cs="Arial" w:asciiTheme="minorEastAsia" w:hAnsiTheme="minorEastAsia"/>
          <w:color w:val="000000"/>
          <w:kern w:val="0"/>
          <w:szCs w:val="21"/>
        </w:rPr>
        <w:t> </w:t>
      </w:r>
    </w:p>
    <w:p w14:paraId="302A5A86">
      <w:pPr>
        <w:widowControl/>
        <w:spacing w:before="75" w:after="75"/>
        <w:ind w:left="211" w:hanging="211" w:hangingChars="100"/>
        <w:jc w:val="left"/>
        <w:rPr>
          <w:rFonts w:cs="Arial" w:asciiTheme="minorEastAsia" w:hAnsiTheme="minorEastAsia"/>
          <w:color w:val="000000"/>
          <w:kern w:val="0"/>
          <w:szCs w:val="21"/>
        </w:rPr>
      </w:pPr>
      <w:r>
        <w:rPr>
          <w:rFonts w:cs="Arial" w:asciiTheme="minorEastAsia" w:hAnsiTheme="minorEastAsia"/>
          <w:b/>
          <w:bCs/>
          <w:color w:val="000000"/>
          <w:kern w:val="0"/>
          <w:szCs w:val="21"/>
        </w:rPr>
        <w:t>二、招标项目名称：</w:t>
      </w:r>
      <w:r>
        <w:rPr>
          <w:rFonts w:hint="eastAsia" w:cs="Arial" w:asciiTheme="minorEastAsia" w:hAnsiTheme="minorEastAsia"/>
          <w:color w:val="000000"/>
          <w:kern w:val="0"/>
          <w:szCs w:val="21"/>
          <w:lang w:eastAsia="zh-CN"/>
        </w:rPr>
        <w:t xml:space="preserve"> 2026年（第一期）嘉兴市住房公积金管理服务中心平湖分中心资金竞争性存放项目</w:t>
      </w:r>
      <w:r>
        <w:rPr>
          <w:rFonts w:hint="eastAsia" w:cs="Arial" w:asciiTheme="minorEastAsia" w:hAnsiTheme="minorEastAsia"/>
          <w:color w:val="000000"/>
          <w:kern w:val="0"/>
          <w:szCs w:val="21"/>
        </w:rPr>
        <w:t>的中标公告</w:t>
      </w:r>
      <w:r>
        <w:rPr>
          <w:rFonts w:cs="Arial" w:asciiTheme="minorEastAsia" w:hAnsiTheme="minorEastAsia"/>
          <w:color w:val="000000"/>
          <w:kern w:val="0"/>
          <w:szCs w:val="21"/>
        </w:rPr>
        <w:t>   </w:t>
      </w:r>
    </w:p>
    <w:p w14:paraId="63DF83BF">
      <w:pPr>
        <w:widowControl/>
        <w:spacing w:before="75" w:after="75"/>
        <w:jc w:val="left"/>
        <w:rPr>
          <w:rFonts w:cs="Arial" w:asciiTheme="minorEastAsia" w:hAnsiTheme="minorEastAsia"/>
          <w:color w:val="000000"/>
          <w:kern w:val="0"/>
          <w:szCs w:val="21"/>
        </w:rPr>
      </w:pPr>
      <w:r>
        <w:rPr>
          <w:rFonts w:cs="Arial" w:asciiTheme="minorEastAsia" w:hAnsiTheme="minorEastAsia"/>
          <w:b/>
          <w:bCs/>
          <w:color w:val="000000"/>
          <w:kern w:val="0"/>
          <w:szCs w:val="21"/>
        </w:rPr>
        <w:t>三、招标项目编号：</w:t>
      </w:r>
      <w:r>
        <w:rPr>
          <w:rFonts w:cs="Arial" w:asciiTheme="minorEastAsia" w:hAnsiTheme="minorEastAsia"/>
          <w:color w:val="000000"/>
          <w:kern w:val="0"/>
          <w:szCs w:val="21"/>
        </w:rPr>
        <w:t xml:space="preserve"> </w:t>
      </w:r>
      <w:r>
        <w:rPr>
          <w:rFonts w:hint="eastAsia" w:cs="Arial" w:asciiTheme="minorEastAsia" w:hAnsiTheme="minorEastAsia"/>
          <w:color w:val="000000"/>
          <w:kern w:val="0"/>
          <w:szCs w:val="21"/>
          <w:lang w:eastAsia="zh-CN"/>
        </w:rPr>
        <w:t>JXQQPHC-2026-007</w:t>
      </w:r>
      <w:r>
        <w:rPr>
          <w:rFonts w:cs="Arial" w:asciiTheme="minorEastAsia" w:hAnsiTheme="minorEastAsia"/>
          <w:color w:val="000000"/>
          <w:kern w:val="0"/>
          <w:szCs w:val="21"/>
        </w:rPr>
        <w:t> </w:t>
      </w:r>
    </w:p>
    <w:p w14:paraId="5036D97B">
      <w:pPr>
        <w:widowControl/>
        <w:spacing w:before="75" w:after="75"/>
        <w:jc w:val="left"/>
        <w:rPr>
          <w:rFonts w:hint="eastAsia" w:cs="Arial" w:asciiTheme="minorEastAsia" w:hAnsiTheme="minorEastAsia"/>
          <w:color w:val="000000"/>
          <w:kern w:val="0"/>
          <w:szCs w:val="21"/>
        </w:rPr>
      </w:pPr>
      <w:r>
        <w:rPr>
          <w:rFonts w:cs="Arial" w:asciiTheme="minorEastAsia" w:hAnsiTheme="minorEastAsia"/>
          <w:b/>
          <w:bCs/>
          <w:color w:val="000000"/>
          <w:kern w:val="0"/>
          <w:szCs w:val="21"/>
        </w:rPr>
        <w:t>四、招标项目内容：</w:t>
      </w:r>
    </w:p>
    <w:tbl>
      <w:tblPr>
        <w:tblStyle w:val="7"/>
        <w:tblpPr w:leftFromText="180" w:rightFromText="180" w:vertAnchor="text" w:horzAnchor="page" w:tblpX="1962" w:tblpY="49"/>
        <w:tblOverlap w:val="never"/>
        <w:tblW w:w="8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59"/>
        <w:gridCol w:w="2599"/>
        <w:gridCol w:w="1526"/>
        <w:gridCol w:w="1358"/>
        <w:gridCol w:w="1241"/>
      </w:tblGrid>
      <w:tr w14:paraId="35C7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53A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标段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4FE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标的内容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488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资金对象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921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标的金额</w:t>
            </w:r>
          </w:p>
          <w:p w14:paraId="0939344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元）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922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资金</w:t>
            </w:r>
          </w:p>
          <w:p w14:paraId="5DB7ADB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存期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238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中标银行数量</w:t>
            </w:r>
          </w:p>
        </w:tc>
      </w:tr>
      <w:tr w14:paraId="6603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D78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2A9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综合工作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1AC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住房公积金专户活期资金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0E2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35000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7F1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3个月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006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9家</w:t>
            </w:r>
          </w:p>
        </w:tc>
      </w:tr>
      <w:tr w14:paraId="1DF1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AD4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B75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延伸工作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148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住房公积金专户活期资金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9E1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14500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CF7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3个月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41A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6家</w:t>
            </w:r>
          </w:p>
        </w:tc>
      </w:tr>
      <w:tr w14:paraId="0B0D6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5BE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28C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扩面工作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F2C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住房公积金专户活期资金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5EF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16500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132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3个月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05F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8家</w:t>
            </w:r>
          </w:p>
        </w:tc>
      </w:tr>
    </w:tbl>
    <w:p w14:paraId="74454553">
      <w:pPr>
        <w:widowControl/>
        <w:spacing w:before="75" w:after="75"/>
        <w:jc w:val="left"/>
        <w:rPr>
          <w:rFonts w:cs="Arial" w:asciiTheme="minorEastAsia" w:hAnsiTheme="minorEastAsia"/>
          <w:color w:val="000000"/>
          <w:kern w:val="0"/>
          <w:szCs w:val="21"/>
          <w:highlight w:val="none"/>
        </w:rPr>
      </w:pPr>
      <w:r>
        <w:rPr>
          <w:rFonts w:cs="Arial" w:asciiTheme="minorEastAsia" w:hAnsiTheme="minorEastAsia"/>
          <w:b/>
          <w:bCs/>
          <w:color w:val="000000"/>
          <w:kern w:val="0"/>
          <w:szCs w:val="21"/>
          <w:highlight w:val="none"/>
        </w:rPr>
        <w:t>五、招标公告发布日期：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 xml:space="preserve"> 202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6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年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06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月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03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日 </w:t>
      </w:r>
    </w:p>
    <w:p w14:paraId="20816E8D">
      <w:pPr>
        <w:widowControl/>
        <w:spacing w:before="75" w:after="75"/>
        <w:jc w:val="left"/>
        <w:rPr>
          <w:rFonts w:cs="Arial" w:asciiTheme="minorEastAsia" w:hAnsiTheme="minorEastAsia"/>
          <w:color w:val="000000"/>
          <w:kern w:val="0"/>
          <w:szCs w:val="21"/>
          <w:highlight w:val="none"/>
        </w:rPr>
      </w:pPr>
      <w:r>
        <w:rPr>
          <w:rFonts w:cs="Arial" w:asciiTheme="minorEastAsia" w:hAnsiTheme="minorEastAsia"/>
          <w:b/>
          <w:bCs/>
          <w:color w:val="000000"/>
          <w:kern w:val="0"/>
          <w:szCs w:val="21"/>
          <w:highlight w:val="none"/>
        </w:rPr>
        <w:t>六、定标日期：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 xml:space="preserve"> 202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6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年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06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月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10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日 </w:t>
      </w:r>
    </w:p>
    <w:p w14:paraId="3190E00D">
      <w:pPr>
        <w:widowControl/>
        <w:spacing w:before="75" w:after="75"/>
        <w:jc w:val="left"/>
        <w:rPr>
          <w:rFonts w:cs="Arial" w:asciiTheme="minorEastAsia" w:hAnsiTheme="minorEastAsia"/>
          <w:color w:val="000000"/>
          <w:kern w:val="0"/>
          <w:szCs w:val="21"/>
          <w:highlight w:val="none"/>
        </w:rPr>
      </w:pPr>
      <w:r>
        <w:rPr>
          <w:rFonts w:cs="Arial" w:asciiTheme="minorEastAsia" w:hAnsiTheme="minorEastAsia"/>
          <w:b/>
          <w:bCs/>
          <w:color w:val="000000"/>
          <w:kern w:val="0"/>
          <w:szCs w:val="21"/>
          <w:highlight w:val="none"/>
        </w:rPr>
        <w:t>七、中标结果：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</w:rPr>
        <w:t xml:space="preserve"> 存款期限3个月 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 </w:t>
      </w:r>
    </w:p>
    <w:p w14:paraId="22DE79C5">
      <w:pPr>
        <w:widowControl/>
        <w:spacing w:before="75" w:after="75"/>
        <w:jc w:val="left"/>
        <w:rPr>
          <w:rFonts w:cs="Arial" w:asciiTheme="minorEastAsia" w:hAnsiTheme="minorEastAsia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标段1：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     </w:t>
      </w:r>
    </w:p>
    <w:tbl>
      <w:tblPr>
        <w:tblStyle w:val="7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4151"/>
        <w:gridCol w:w="763"/>
        <w:gridCol w:w="944"/>
        <w:gridCol w:w="1151"/>
        <w:gridCol w:w="1099"/>
      </w:tblGrid>
      <w:tr w14:paraId="1D2F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B0B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D467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投标银行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3472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F78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利率水平得分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1EE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中标金额（万元）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B497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/>
                <w:color w:val="000000"/>
                <w:kern w:val="0"/>
                <w:szCs w:val="21"/>
                <w:highlight w:val="none"/>
              </w:rPr>
              <w:t>利率水平指标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highlight w:val="none"/>
              </w:rPr>
              <w:t>（%）</w:t>
            </w:r>
          </w:p>
        </w:tc>
      </w:tr>
      <w:tr w14:paraId="71C4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097D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bookmarkStart w:id="0" w:name="_GoBack" w:colFirst="3" w:colLast="5"/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29C5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中国银行股份有限公司平湖支行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496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87.11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7134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1D7C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8300.00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1804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0E1A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94C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424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中国建设银行股份有限公司平湖支行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D7F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85.28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19D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E2E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6800.00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FEE3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7F25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A786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0FB9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中国工商银行股份有限公司平湖支行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813C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84.48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BE90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C34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5600.00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3BC0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3D4D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6A5C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5BCF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中国农业银行股份有限公司平湖市支行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983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81.55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D675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FDC9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4500.00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80A3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bookmarkEnd w:id="0"/>
      <w:tr w14:paraId="4770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9E76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9BE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中信银行股份有限公司嘉兴平湖支行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07CD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73.11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BA81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D86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3500.00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AA26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  <w:tr w14:paraId="312F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898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20C3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嘉兴银行股份有限公司平湖支行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9362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71.23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3B9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10.00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45BC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2500.00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31B2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1.10</w:t>
            </w:r>
          </w:p>
        </w:tc>
      </w:tr>
      <w:tr w14:paraId="3C7F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494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ED7B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中国邮政储蓄银行股份有限公司平湖市支行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32A5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64.02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2996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E472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1800.00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863A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  <w:tr w14:paraId="113C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56D3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AF5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杭州银行股份有限公司嘉兴平湖科技支行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82F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56.42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DFDE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B05C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1200.00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C532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  <w:tr w14:paraId="4FF3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5F4D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0650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宁波银行股份有限公司嘉兴平湖支行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AE0A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55.59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D206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578F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800.00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2A0F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</w:tbl>
    <w:p w14:paraId="3497F9CF">
      <w:pPr>
        <w:widowControl/>
        <w:spacing w:before="75" w:after="75"/>
        <w:jc w:val="left"/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标段2：</w:t>
      </w:r>
    </w:p>
    <w:tbl>
      <w:tblPr>
        <w:tblStyle w:val="7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4228"/>
        <w:gridCol w:w="699"/>
        <w:gridCol w:w="944"/>
        <w:gridCol w:w="1138"/>
        <w:gridCol w:w="1112"/>
      </w:tblGrid>
      <w:tr w14:paraId="0273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CD92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42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8DB6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投标银行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DFCF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3C4E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利率水平得分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F0A8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中标金额（万元）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5BE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/>
                <w:color w:val="000000"/>
                <w:kern w:val="0"/>
                <w:szCs w:val="21"/>
                <w:highlight w:val="none"/>
              </w:rPr>
              <w:t>利率水平指标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highlight w:val="none"/>
              </w:rPr>
              <w:t>（%）</w:t>
            </w:r>
          </w:p>
        </w:tc>
      </w:tr>
      <w:tr w14:paraId="2DAD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8CE8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AF8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嘉兴银行股份有限公司平湖支行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3845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93.23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091D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10.00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2915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4200.00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5FFB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1.10</w:t>
            </w:r>
          </w:p>
        </w:tc>
      </w:tr>
      <w:tr w14:paraId="140D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D380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29E8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AF36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90.21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455D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DB6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3500.00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D10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46AF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16D7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A0F0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中国农业银行股份有限公司平湖市支行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1811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87.85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4FA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0FFE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2500.00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ED45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0307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2FF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77D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中国工商银行股份有限公司平湖支行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27A2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82.98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81C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BD2D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1800.00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79F3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04D5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801C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14C9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中国建设银行股份有限公司平湖支行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B6E3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82.28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83A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C979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1500.00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8E7C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5E24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5216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2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6569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宁波银行股份有限公司嘉兴平湖支行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1F0A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55.59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6898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8BDE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1000.00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FFAF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</w:tbl>
    <w:p w14:paraId="769B2435">
      <w:pPr>
        <w:widowControl/>
        <w:spacing w:before="75" w:after="75"/>
        <w:jc w:val="left"/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标段3：</w:t>
      </w:r>
    </w:p>
    <w:tbl>
      <w:tblPr>
        <w:tblStyle w:val="7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4241"/>
        <w:gridCol w:w="699"/>
        <w:gridCol w:w="944"/>
        <w:gridCol w:w="1125"/>
        <w:gridCol w:w="1125"/>
      </w:tblGrid>
      <w:tr w14:paraId="628C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E24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592B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投标银行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CF1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4F55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利率水平得分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8157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中标金额（万元）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B304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/>
                <w:color w:val="000000"/>
                <w:kern w:val="0"/>
                <w:szCs w:val="21"/>
                <w:highlight w:val="none"/>
              </w:rPr>
              <w:t>利率水平指标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highlight w:val="none"/>
              </w:rPr>
              <w:t>（%）</w:t>
            </w:r>
          </w:p>
        </w:tc>
      </w:tr>
      <w:tr w14:paraId="6644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8482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4155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中国农业银行股份有限公司平湖市支行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4C8B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93.85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8C6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7425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4200.00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036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64A9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EE3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C9AA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6CE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90.21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EFF8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9678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3500.00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E77C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54E9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6A42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3449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中国工商银行股份有限公司平湖支行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E60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85.98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FF14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0873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2500.00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376A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3033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3F99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89CDF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嘉兴银行股份有限公司平湖支行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8205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84.23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67D6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0157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1800.00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7C1A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1.10</w:t>
            </w:r>
          </w:p>
        </w:tc>
      </w:tr>
      <w:tr w14:paraId="651E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93F6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1CA8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中国建设银行股份有限公司平湖支行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0C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82.28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A7D4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CEB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98D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0.80</w:t>
            </w:r>
          </w:p>
        </w:tc>
      </w:tr>
      <w:tr w14:paraId="1505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D942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EA85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中信银行股份有限公司嘉兴平湖支行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11B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74.61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722D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04E9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1200.00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8D4B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  <w:tr w14:paraId="6C5C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2C89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F298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杭州银行股份有限公司嘉兴平湖科技支行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3240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74.42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8EB9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E971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D189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  <w:tr w14:paraId="0275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CCB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83D1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宁波银行股份有限公司嘉兴平湖支行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9211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55.59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8AD7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9.09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2CC9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800.00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2EC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1.00</w:t>
            </w:r>
          </w:p>
        </w:tc>
      </w:tr>
    </w:tbl>
    <w:p w14:paraId="1EB1A744">
      <w:pPr>
        <w:widowControl/>
        <w:jc w:val="left"/>
        <w:rPr>
          <w:rFonts w:cs="宋体" w:asciiTheme="minorEastAsia" w:hAnsiTheme="minorEastAsia"/>
          <w:kern w:val="0"/>
          <w:szCs w:val="21"/>
          <w:highlight w:val="none"/>
        </w:rPr>
      </w:pP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 </w:t>
      </w:r>
      <w:r>
        <w:rPr>
          <w:rFonts w:cs="Arial" w:asciiTheme="minorEastAsia" w:hAnsiTheme="minorEastAsia"/>
          <w:b/>
          <w:bCs/>
          <w:color w:val="000000"/>
          <w:kern w:val="0"/>
          <w:szCs w:val="21"/>
          <w:highlight w:val="none"/>
        </w:rPr>
        <w:t>八、联系方式：</w:t>
      </w:r>
    </w:p>
    <w:p w14:paraId="4CC3A064">
      <w:pPr>
        <w:widowControl/>
        <w:spacing w:before="75" w:after="75"/>
        <w:jc w:val="left"/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>1.采购单位：嘉兴市住房公积金管理服务中心平湖分中心</w:t>
      </w:r>
    </w:p>
    <w:p w14:paraId="58D22785">
      <w:pPr>
        <w:widowControl/>
        <w:spacing w:before="75" w:after="75"/>
        <w:jc w:val="left"/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 xml:space="preserve">联系人：丁宇萍  </w:t>
      </w:r>
    </w:p>
    <w:p w14:paraId="6ED73C7B">
      <w:pPr>
        <w:widowControl/>
        <w:spacing w:before="75" w:after="75"/>
        <w:jc w:val="left"/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>联系电话：0573-85061815</w:t>
      </w:r>
    </w:p>
    <w:p w14:paraId="6B407E9D">
      <w:pPr>
        <w:widowControl/>
        <w:spacing w:before="75" w:after="75"/>
        <w:jc w:val="left"/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>地址: 平湖市胜利路380号行政中心4号楼</w:t>
      </w:r>
    </w:p>
    <w:p w14:paraId="463EA710">
      <w:pPr>
        <w:widowControl/>
        <w:spacing w:before="75" w:after="75"/>
        <w:jc w:val="left"/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>2.嘉兴市千秋工程咨询有限公司</w:t>
      </w:r>
    </w:p>
    <w:p w14:paraId="3A2E32D5">
      <w:pPr>
        <w:widowControl/>
        <w:spacing w:before="75" w:after="75"/>
        <w:jc w:val="left"/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>联系人：周女士</w:t>
      </w:r>
    </w:p>
    <w:p w14:paraId="6334FE5B">
      <w:pPr>
        <w:widowControl/>
        <w:spacing w:before="75" w:after="75"/>
        <w:jc w:val="left"/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 xml:space="preserve">联系电话：13575338593 </w:t>
      </w:r>
    </w:p>
    <w:p w14:paraId="4F507483">
      <w:pPr>
        <w:widowControl/>
        <w:spacing w:before="75" w:after="75"/>
        <w:jc w:val="left"/>
        <w:rPr>
          <w:rFonts w:hint="eastAsia" w:ascii="MS Mincho" w:hAnsi="MS Mincho" w:eastAsia="MS Mincho" w:cs="MS Mincho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000000"/>
          <w:kern w:val="0"/>
          <w:szCs w:val="21"/>
          <w:highlight w:val="none"/>
        </w:rPr>
        <w:t>地址: 平湖市当湖街道胜利路129号（建工大厦B幢西梯10楼）</w:t>
      </w:r>
      <w:r>
        <w:rPr>
          <w:rFonts w:cs="Arial" w:asciiTheme="minorEastAsia" w:hAnsiTheme="minorEastAsia"/>
          <w:color w:val="000000"/>
          <w:kern w:val="0"/>
          <w:szCs w:val="21"/>
          <w:highlight w:val="none"/>
        </w:rPr>
        <w:t>  </w:t>
      </w:r>
    </w:p>
    <w:p w14:paraId="720EED72">
      <w:pPr>
        <w:widowControl/>
        <w:spacing w:before="75" w:after="75"/>
        <w:jc w:val="right"/>
        <w:rPr>
          <w:rFonts w:hint="eastAsia" w:eastAsia="宋体" w:cs="Arial" w:asciiTheme="minorEastAsia" w:hAnsiTheme="minorEastAsia"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MS Mincho" w:hAnsi="MS Mincho" w:eastAsia="MS Mincho" w:cs="MS Mincho"/>
          <w:color w:val="000000"/>
          <w:kern w:val="0"/>
          <w:szCs w:val="21"/>
          <w:highlight w:val="none"/>
        </w:rPr>
        <w:t>​</w:t>
      </w:r>
      <w:r>
        <w:rPr>
          <w:rFonts w:hint="eastAsia" w:ascii="Arial" w:hAnsi="Arial" w:eastAsia="宋体" w:cs="Arial"/>
          <w:color w:val="000000"/>
          <w:highlight w:val="none"/>
          <w:lang w:eastAsia="zh-CN"/>
        </w:rPr>
        <w:t xml:space="preserve">嘉兴市住房公积金管理服务中心平湖分中心   </w:t>
      </w:r>
    </w:p>
    <w:p w14:paraId="41B813F1">
      <w:pPr>
        <w:widowControl/>
        <w:spacing w:before="75" w:after="75"/>
        <w:ind w:left="240"/>
        <w:jc w:val="right"/>
        <w:rPr>
          <w:rFonts w:cs="Arial" w:asciiTheme="minorEastAsia" w:hAnsiTheme="minorEastAsia"/>
          <w:color w:val="000000"/>
          <w:kern w:val="0"/>
          <w:szCs w:val="21"/>
          <w:highlight w:val="none"/>
        </w:rPr>
      </w:pP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</w:rPr>
        <w:t>嘉兴市千秋工程咨询有限公司</w:t>
      </w:r>
    </w:p>
    <w:p w14:paraId="4F285FEE">
      <w:pPr>
        <w:widowControl/>
        <w:ind w:left="240" w:right="90"/>
        <w:jc w:val="right"/>
        <w:rPr>
          <w:highlight w:val="none"/>
        </w:rPr>
      </w:pP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</w:rPr>
        <w:t>202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6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</w:rPr>
        <w:t>年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6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</w:rPr>
        <w:t>月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  <w:lang w:val="en-US" w:eastAsia="zh-CN"/>
        </w:rPr>
        <w:t>10</w:t>
      </w:r>
      <w:r>
        <w:rPr>
          <w:rFonts w:hint="eastAsia" w:cs="Arial" w:asciiTheme="minorEastAsia" w:hAnsiTheme="minorEastAsia"/>
          <w:color w:val="000000"/>
          <w:kern w:val="0"/>
          <w:szCs w:val="21"/>
          <w:highlight w:val="none"/>
        </w:rPr>
        <w:t>日</w:t>
      </w:r>
    </w:p>
    <w:sectPr>
      <w:pgSz w:w="11906" w:h="16838"/>
      <w:pgMar w:top="1418" w:right="1797" w:bottom="102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lMTYyNTAxYWM3MWI0NzliODIyODNmMjdmN2NhNGEifQ=="/>
  </w:docVars>
  <w:rsids>
    <w:rsidRoot w:val="004060C8"/>
    <w:rsid w:val="00001D34"/>
    <w:rsid w:val="00012AC0"/>
    <w:rsid w:val="00023B29"/>
    <w:rsid w:val="000270E9"/>
    <w:rsid w:val="00030F0E"/>
    <w:rsid w:val="000553C5"/>
    <w:rsid w:val="00064D9C"/>
    <w:rsid w:val="000E467B"/>
    <w:rsid w:val="00127CE4"/>
    <w:rsid w:val="00137464"/>
    <w:rsid w:val="00154247"/>
    <w:rsid w:val="00172C6A"/>
    <w:rsid w:val="001855D7"/>
    <w:rsid w:val="001C7C78"/>
    <w:rsid w:val="001F1F27"/>
    <w:rsid w:val="00203D79"/>
    <w:rsid w:val="002141D2"/>
    <w:rsid w:val="0026636C"/>
    <w:rsid w:val="00274B7F"/>
    <w:rsid w:val="00290471"/>
    <w:rsid w:val="002B7962"/>
    <w:rsid w:val="00391E17"/>
    <w:rsid w:val="00395D9E"/>
    <w:rsid w:val="003B5D00"/>
    <w:rsid w:val="003C2046"/>
    <w:rsid w:val="004060C8"/>
    <w:rsid w:val="004062DA"/>
    <w:rsid w:val="00413162"/>
    <w:rsid w:val="004259D6"/>
    <w:rsid w:val="00496DA9"/>
    <w:rsid w:val="00523973"/>
    <w:rsid w:val="0052502E"/>
    <w:rsid w:val="0055115B"/>
    <w:rsid w:val="00560004"/>
    <w:rsid w:val="0058334B"/>
    <w:rsid w:val="005C4E77"/>
    <w:rsid w:val="00631568"/>
    <w:rsid w:val="00637965"/>
    <w:rsid w:val="00651811"/>
    <w:rsid w:val="006D46F1"/>
    <w:rsid w:val="007142CA"/>
    <w:rsid w:val="007617B2"/>
    <w:rsid w:val="007674D9"/>
    <w:rsid w:val="0076765C"/>
    <w:rsid w:val="007D6AE3"/>
    <w:rsid w:val="007E35EB"/>
    <w:rsid w:val="008C6641"/>
    <w:rsid w:val="008E3296"/>
    <w:rsid w:val="008E3CFA"/>
    <w:rsid w:val="008F5133"/>
    <w:rsid w:val="00946AFC"/>
    <w:rsid w:val="00967FD5"/>
    <w:rsid w:val="009A3EDD"/>
    <w:rsid w:val="009C2611"/>
    <w:rsid w:val="00A42D3F"/>
    <w:rsid w:val="00A64C22"/>
    <w:rsid w:val="00AC00F3"/>
    <w:rsid w:val="00AE43D2"/>
    <w:rsid w:val="00B204D5"/>
    <w:rsid w:val="00B83081"/>
    <w:rsid w:val="00C46CE0"/>
    <w:rsid w:val="00D26F10"/>
    <w:rsid w:val="00D7253A"/>
    <w:rsid w:val="00D96A59"/>
    <w:rsid w:val="00DC2AA5"/>
    <w:rsid w:val="00DF73B9"/>
    <w:rsid w:val="00E16C4A"/>
    <w:rsid w:val="00E253D4"/>
    <w:rsid w:val="00E66157"/>
    <w:rsid w:val="00F02922"/>
    <w:rsid w:val="00F5764D"/>
    <w:rsid w:val="00F833E9"/>
    <w:rsid w:val="02362411"/>
    <w:rsid w:val="02A62291"/>
    <w:rsid w:val="03FE4D07"/>
    <w:rsid w:val="04806B11"/>
    <w:rsid w:val="04B43D4C"/>
    <w:rsid w:val="065A3ABE"/>
    <w:rsid w:val="07A648A2"/>
    <w:rsid w:val="07CB44A3"/>
    <w:rsid w:val="081C2B68"/>
    <w:rsid w:val="09A6701A"/>
    <w:rsid w:val="0A7B5821"/>
    <w:rsid w:val="0C5B5239"/>
    <w:rsid w:val="0EE02A09"/>
    <w:rsid w:val="15E622AE"/>
    <w:rsid w:val="19575950"/>
    <w:rsid w:val="20BE2A44"/>
    <w:rsid w:val="21934C32"/>
    <w:rsid w:val="22B440FE"/>
    <w:rsid w:val="22BF75A9"/>
    <w:rsid w:val="23B05F44"/>
    <w:rsid w:val="26AA1AA0"/>
    <w:rsid w:val="278644FF"/>
    <w:rsid w:val="27E9484A"/>
    <w:rsid w:val="29B03871"/>
    <w:rsid w:val="2BE21D46"/>
    <w:rsid w:val="2D72441F"/>
    <w:rsid w:val="31CD277D"/>
    <w:rsid w:val="34164C19"/>
    <w:rsid w:val="34E40873"/>
    <w:rsid w:val="34F122D2"/>
    <w:rsid w:val="3BF14185"/>
    <w:rsid w:val="3CAD1E92"/>
    <w:rsid w:val="3CCE3C8E"/>
    <w:rsid w:val="3DCC6348"/>
    <w:rsid w:val="3EC3599D"/>
    <w:rsid w:val="3FA72BC9"/>
    <w:rsid w:val="42C6780A"/>
    <w:rsid w:val="44374B5E"/>
    <w:rsid w:val="469F0A9E"/>
    <w:rsid w:val="4E183635"/>
    <w:rsid w:val="52995261"/>
    <w:rsid w:val="58823EB3"/>
    <w:rsid w:val="5B6854AA"/>
    <w:rsid w:val="5C661155"/>
    <w:rsid w:val="629253D6"/>
    <w:rsid w:val="65BC68E6"/>
    <w:rsid w:val="69DF1A23"/>
    <w:rsid w:val="711D04C4"/>
    <w:rsid w:val="74D95780"/>
    <w:rsid w:val="79DC2A06"/>
    <w:rsid w:val="7B842F45"/>
    <w:rsid w:val="7C68003A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bookmark-item"/>
    <w:basedOn w:val="8"/>
    <w:qFormat/>
    <w:uiPriority w:val="0"/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1015</Words>
  <Characters>1460</Characters>
  <Lines>5</Lines>
  <Paragraphs>1</Paragraphs>
  <TotalTime>3</TotalTime>
  <ScaleCrop>false</ScaleCrop>
  <LinksUpToDate>false</LinksUpToDate>
  <CharactersWithSpaces>1494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2019-06-21T05:44:00Z</dcterms:created>
  <dc:creator>嘉兴市千秋工程咨询有限公司</dc:creator>
  <cp:lastModifiedBy>几何</cp:lastModifiedBy>
  <dcterms:modified xsi:type="dcterms:W3CDTF">2026-06-10T08:23:56Z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EE50AE7263DF4F6DA297D7592B618551_12</vt:lpwstr>
  </property>
  <property fmtid="{D5CDD505-2E9C-101B-9397-08002B2CF9AE}" pid="4" name="KSOTemplateDocerSaveRecord">
    <vt:lpwstr>eyJoZGlkIjoiZDc5M2ViNmM1NTM1ZDkzYjNkZGE3YTBhMjhkNDQ3NjciLCJ1c2VySWQiOiI2MzQzMDM0MDUifQ==</vt:lpwstr>
  </property>
</Properties>
</file>