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500" w:lineRule="exact"/>
        <w:jc w:val="center"/>
        <w:rPr>
          <w:rFonts w:hint="eastAsia" w:eastAsia="楷体_GB2312"/>
          <w:bCs w:val="0"/>
          <w:color w:val="auto"/>
          <w:kern w:val="2"/>
          <w:sz w:val="36"/>
          <w:szCs w:val="36"/>
          <w:highlight w:val="none"/>
        </w:rPr>
      </w:pPr>
      <w:bookmarkStart w:id="0" w:name="_Toc6811"/>
      <w:r>
        <w:rPr>
          <w:rFonts w:hint="eastAsia" w:eastAsia="楷体_GB2312"/>
          <w:bCs w:val="0"/>
          <w:color w:val="auto"/>
          <w:kern w:val="2"/>
          <w:sz w:val="36"/>
          <w:szCs w:val="36"/>
          <w:highlight w:val="none"/>
        </w:rPr>
        <w:t>第</w:t>
      </w:r>
      <w:r>
        <w:rPr>
          <w:rFonts w:hint="eastAsia" w:eastAsia="楷体_GB2312"/>
          <w:bCs w:val="0"/>
          <w:color w:val="auto"/>
          <w:kern w:val="2"/>
          <w:sz w:val="36"/>
          <w:szCs w:val="36"/>
          <w:highlight w:val="none"/>
          <w:lang w:eastAsia="zh-CN"/>
        </w:rPr>
        <w:t>六</w:t>
      </w:r>
      <w:r>
        <w:rPr>
          <w:rFonts w:hint="eastAsia" w:eastAsia="楷体_GB2312"/>
          <w:bCs w:val="0"/>
          <w:color w:val="auto"/>
          <w:kern w:val="2"/>
          <w:sz w:val="36"/>
          <w:szCs w:val="36"/>
          <w:highlight w:val="none"/>
        </w:rPr>
        <w:t>部分  附件</w:t>
      </w:r>
      <w:bookmarkEnd w:id="0"/>
    </w:p>
    <w:p>
      <w:pPr>
        <w:pStyle w:val="3"/>
        <w:spacing w:line="320" w:lineRule="exact"/>
        <w:rPr>
          <w:rFonts w:hint="eastAsia" w:ascii="黑体" w:hAnsi="黑体"/>
          <w:b w:val="0"/>
          <w:color w:val="auto"/>
          <w:sz w:val="28"/>
          <w:szCs w:val="28"/>
          <w:highlight w:val="none"/>
        </w:rPr>
      </w:pPr>
      <w:bookmarkStart w:id="1" w:name="_Toc20571"/>
      <w:bookmarkStart w:id="2" w:name="_Toc1286"/>
      <w:bookmarkStart w:id="3" w:name="_Toc178668984"/>
      <w:r>
        <w:rPr>
          <w:rFonts w:hint="eastAsia" w:ascii="黑体" w:hAnsi="黑体"/>
          <w:b w:val="0"/>
          <w:color w:val="auto"/>
          <w:sz w:val="28"/>
          <w:szCs w:val="28"/>
          <w:highlight w:val="none"/>
        </w:rPr>
        <w:t>附件1  报价一览表</w:t>
      </w:r>
      <w:bookmarkEnd w:id="1"/>
      <w:bookmarkEnd w:id="2"/>
    </w:p>
    <w:p>
      <w:pPr>
        <w:jc w:val="center"/>
        <w:rPr>
          <w:rFonts w:hint="eastAsia" w:ascii="楷体_GB2312" w:eastAsia="楷体_GB2312"/>
          <w:b/>
          <w:color w:val="auto"/>
          <w:sz w:val="36"/>
          <w:szCs w:val="36"/>
          <w:highlight w:val="none"/>
          <w:lang w:eastAsia="zh-CN"/>
        </w:rPr>
      </w:pPr>
      <w:r>
        <w:rPr>
          <w:rFonts w:hint="eastAsia" w:ascii="楷体_GB2312" w:eastAsia="楷体_GB2312"/>
          <w:b/>
          <w:color w:val="auto"/>
          <w:sz w:val="36"/>
          <w:szCs w:val="36"/>
          <w:highlight w:val="none"/>
        </w:rPr>
        <w:t>海宁市住房和城乡建设局</w:t>
      </w:r>
      <w:r>
        <w:rPr>
          <w:rFonts w:hint="eastAsia" w:ascii="楷体_GB2312" w:eastAsia="楷体_GB2312"/>
          <w:b/>
          <w:color w:val="auto"/>
          <w:sz w:val="36"/>
          <w:szCs w:val="36"/>
          <w:highlight w:val="none"/>
          <w:lang w:eastAsia="zh-CN"/>
        </w:rPr>
        <w:t>2026年第一期</w:t>
      </w:r>
    </w:p>
    <w:p>
      <w:pPr>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lang w:eastAsia="zh-CN"/>
        </w:rPr>
        <w:t>“两金”</w:t>
      </w:r>
      <w:r>
        <w:rPr>
          <w:rFonts w:hint="eastAsia" w:ascii="楷体_GB2312" w:eastAsia="楷体_GB2312"/>
          <w:b/>
          <w:color w:val="auto"/>
          <w:sz w:val="36"/>
          <w:szCs w:val="36"/>
          <w:highlight w:val="none"/>
        </w:rPr>
        <w:t>资金竞争性存放项目</w:t>
      </w:r>
    </w:p>
    <w:p>
      <w:pPr>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报价一览表</w:t>
      </w:r>
    </w:p>
    <w:p>
      <w:pPr>
        <w:jc w:val="center"/>
        <w:rPr>
          <w:rFonts w:hint="eastAsia" w:ascii="楷体_GB2312" w:eastAsia="楷体_GB2312"/>
          <w:b/>
          <w:color w:val="auto"/>
          <w:sz w:val="36"/>
          <w:szCs w:val="36"/>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400"/>
        <w:gridCol w:w="2370"/>
        <w:gridCol w:w="2401"/>
        <w:gridCol w:w="25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3" w:hRule="atLeast"/>
          <w:jc w:val="center"/>
        </w:trPr>
        <w:tc>
          <w:tcPr>
            <w:tcW w:w="2400" w:type="dxa"/>
            <w:tcBorders>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标段</w:t>
            </w:r>
          </w:p>
        </w:tc>
        <w:tc>
          <w:tcPr>
            <w:tcW w:w="2370"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存放期限</w:t>
            </w:r>
          </w:p>
        </w:tc>
        <w:tc>
          <w:tcPr>
            <w:tcW w:w="2401" w:type="dxa"/>
            <w:tcBorders>
              <w:left w:val="nil"/>
              <w:right w:val="single" w:color="auto" w:sz="4" w:space="0"/>
            </w:tcBorders>
            <w:noWrap w:val="0"/>
            <w:vAlign w:val="center"/>
          </w:tcPr>
          <w:p>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基准利率</w:t>
            </w:r>
          </w:p>
        </w:tc>
        <w:tc>
          <w:tcPr>
            <w:tcW w:w="2576" w:type="dxa"/>
            <w:tcBorders>
              <w:left w:val="nil"/>
              <w:bottom w:val="single" w:color="auto" w:sz="4" w:space="0"/>
            </w:tcBorders>
            <w:noWrap w:val="0"/>
            <w:vAlign w:val="center"/>
          </w:tcPr>
          <w:p>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利率</w:t>
            </w:r>
            <w:r>
              <w:rPr>
                <w:rFonts w:hint="eastAsia" w:ascii="宋体" w:hAnsi="宋体" w:cs="宋体"/>
                <w:b/>
                <w:color w:val="auto"/>
                <w:kern w:val="0"/>
                <w:sz w:val="24"/>
                <w:highlight w:val="none"/>
                <w:lang w:eastAsia="zh-CN"/>
              </w:rPr>
              <w:t>上浮</w:t>
            </w:r>
            <w:r>
              <w:rPr>
                <w:rFonts w:hint="eastAsia" w:ascii="宋体" w:hAnsi="宋体" w:cs="宋体"/>
                <w:b/>
                <w:color w:val="auto"/>
                <w:kern w:val="0"/>
                <w:sz w:val="24"/>
                <w:highlight w:val="none"/>
                <w:lang w:val="en-US" w:eastAsia="zh-CN"/>
              </w:rPr>
              <w:t>或下浮</w:t>
            </w:r>
            <w:r>
              <w:rPr>
                <w:rFonts w:hint="eastAsia" w:ascii="宋体" w:hAnsi="宋体" w:cs="宋体"/>
                <w:b/>
                <w:color w:val="auto"/>
                <w:kern w:val="0"/>
                <w:sz w:val="24"/>
                <w:highlight w:val="none"/>
              </w:rPr>
              <w:t>基点</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在下列选项中选择其一打</w:t>
            </w:r>
            <w:r>
              <w:rPr>
                <w:rFonts w:hint="default" w:ascii="Arial" w:hAnsi="Arial" w:cs="Arial"/>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29" w:hRule="atLeast"/>
          <w:jc w:val="center"/>
        </w:trPr>
        <w:tc>
          <w:tcPr>
            <w:tcW w:w="24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一</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三年</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highlight w:val="none"/>
                <w:u w:val="single"/>
              </w:rPr>
            </w:pPr>
            <w:r>
              <w:rPr>
                <w:rFonts w:hint="eastAsia" w:ascii="宋体" w:hAnsi="宋体" w:eastAsia="宋体" w:cs="宋体"/>
                <w:color w:val="auto"/>
                <w:kern w:val="0"/>
                <w:sz w:val="24"/>
                <w:highlight w:val="none"/>
                <w:u w:val="single"/>
                <w:lang w:eastAsia="zh-CN"/>
              </w:rPr>
              <w:t>2.75%</w:t>
            </w:r>
          </w:p>
        </w:tc>
        <w:tc>
          <w:tcPr>
            <w:tcW w:w="2576"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widowControl/>
              <w:jc w:val="center"/>
              <w:rPr>
                <w:rFonts w:hint="eastAsia" w:ascii="宋体" w:hAnsi="宋体" w:cs="宋体"/>
                <w:color w:val="auto"/>
                <w:kern w:val="0"/>
                <w:sz w:val="24"/>
                <w:highlight w:val="none"/>
                <w:u w:val="singl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29" w:hRule="atLeast"/>
          <w:jc w:val="center"/>
        </w:trPr>
        <w:tc>
          <w:tcPr>
            <w:tcW w:w="2400" w:type="dxa"/>
            <w:tcBorders>
              <w:top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二</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eastAsia="zh-CN"/>
              </w:rPr>
              <w:t>年</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u w:val="single"/>
                <w:lang w:val="en-US" w:eastAsia="zh-CN" w:bidi="ar-SA"/>
              </w:rPr>
            </w:pPr>
            <w:r>
              <w:rPr>
                <w:rFonts w:hint="eastAsia" w:ascii="宋体" w:hAnsi="宋体" w:eastAsia="宋体" w:cs="宋体"/>
                <w:color w:val="auto"/>
                <w:kern w:val="0"/>
                <w:sz w:val="24"/>
                <w:highlight w:val="none"/>
                <w:u w:val="single"/>
                <w:lang w:eastAsia="zh-CN"/>
              </w:rPr>
              <w:t>2.75%</w:t>
            </w:r>
          </w:p>
        </w:tc>
        <w:tc>
          <w:tcPr>
            <w:tcW w:w="2576"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上浮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p>
            <w:pPr>
              <w:widowControl/>
              <w:jc w:val="center"/>
              <w:rPr>
                <w:rFonts w:hint="default" w:ascii="宋体" w:hAnsi="宋体" w:cs="宋体"/>
                <w:color w:val="auto"/>
                <w:kern w:val="0"/>
                <w:sz w:val="24"/>
                <w:szCs w:val="24"/>
                <w:highlight w:val="none"/>
                <w:u w:val="single"/>
                <w:lang w:val="en-US" w:eastAsia="zh-CN" w:bidi="ar-SA"/>
              </w:rPr>
            </w:pPr>
            <w:r>
              <w:rPr>
                <w:rFonts w:hint="default" w:ascii="Wingdings" w:hAnsi="Wingdings" w:cs="Wingdings"/>
                <w:b w:val="0"/>
                <w:bCs w:val="0"/>
                <w:color w:val="auto"/>
                <w:kern w:val="0"/>
                <w:sz w:val="24"/>
                <w:highlight w:val="none"/>
              </w:rPr>
              <w:sym w:font="Wingdings" w:char="00A8"/>
            </w:r>
            <w:r>
              <w:rPr>
                <w:rFonts w:hint="eastAsia" w:ascii="宋体" w:hAnsi="宋体" w:cs="宋体"/>
                <w:b/>
                <w:bCs/>
                <w:color w:val="auto"/>
                <w:kern w:val="0"/>
                <w:sz w:val="24"/>
                <w:highlight w:val="none"/>
                <w:lang w:val="en-US" w:eastAsia="zh-CN"/>
              </w:rPr>
              <w:t>下浮</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BP</w:t>
            </w:r>
          </w:p>
        </w:tc>
      </w:tr>
    </w:tbl>
    <w:p>
      <w:pPr>
        <w:jc w:val="center"/>
        <w:rPr>
          <w:rFonts w:hint="eastAsia" w:ascii="楷体_GB2312" w:eastAsia="楷体_GB2312"/>
          <w:b/>
          <w:color w:val="auto"/>
          <w:sz w:val="36"/>
          <w:szCs w:val="36"/>
          <w:highlight w:val="none"/>
        </w:rPr>
      </w:pPr>
    </w:p>
    <w:p>
      <w:pPr>
        <w:jc w:val="right"/>
        <w:rPr>
          <w:rFonts w:hint="eastAsia"/>
          <w:color w:val="auto"/>
          <w:szCs w:val="21"/>
          <w:highlight w:val="none"/>
        </w:rPr>
      </w:pPr>
    </w:p>
    <w:p>
      <w:pPr>
        <w:spacing w:line="600" w:lineRule="exact"/>
        <w:ind w:firstLine="357" w:firstLineChars="148"/>
        <w:rPr>
          <w:rFonts w:hint="eastAsia" w:ascii="宋体" w:hAnsi="宋体"/>
          <w:color w:val="auto"/>
          <w:szCs w:val="21"/>
          <w:highlight w:val="none"/>
        </w:rPr>
      </w:pPr>
      <w:r>
        <w:rPr>
          <w:rFonts w:hint="eastAsia" w:ascii="宋体" w:hAnsi="宋体"/>
          <w:b/>
          <w:color w:val="auto"/>
          <w:sz w:val="24"/>
          <w:highlight w:val="none"/>
        </w:rPr>
        <w:t>注：</w:t>
      </w:r>
      <w:r>
        <w:rPr>
          <w:rFonts w:hint="eastAsia" w:ascii="宋体" w:hAnsi="宋体" w:cs="Arial"/>
          <w:color w:val="auto"/>
          <w:szCs w:val="21"/>
          <w:highlight w:val="none"/>
        </w:rPr>
        <w:t>报价要求详见招标文件第2.2条，基点报价保留到整数位。</w:t>
      </w:r>
    </w:p>
    <w:p>
      <w:pPr>
        <w:pStyle w:val="3"/>
        <w:spacing w:line="320" w:lineRule="exact"/>
        <w:rPr>
          <w:rFonts w:ascii="黑体" w:hAnsi="黑体"/>
          <w:b w:val="0"/>
          <w:color w:val="auto"/>
          <w:sz w:val="28"/>
          <w:szCs w:val="28"/>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r>
        <w:rPr>
          <w:rFonts w:hint="eastAsia" w:ascii="宋体" w:hAnsi="宋体"/>
          <w:b/>
          <w:color w:val="auto"/>
          <w:sz w:val="24"/>
          <w:highlight w:val="none"/>
        </w:rPr>
        <w:t>日期：   　年　　  月　　  日</w:t>
      </w:r>
    </w:p>
    <w:p>
      <w:pPr>
        <w:spacing w:line="320" w:lineRule="exact"/>
        <w:rPr>
          <w:rFonts w:hint="eastAsia" w:ascii="黑体" w:hAnsi="黑体"/>
          <w:b/>
          <w:color w:val="auto"/>
          <w:sz w:val="28"/>
          <w:szCs w:val="28"/>
          <w:highlight w:val="none"/>
        </w:rPr>
      </w:pPr>
      <w:r>
        <w:rPr>
          <w:rFonts w:ascii="黑体" w:hAnsi="黑体"/>
          <w:b/>
          <w:color w:val="auto"/>
          <w:sz w:val="28"/>
          <w:szCs w:val="28"/>
          <w:highlight w:val="none"/>
        </w:rPr>
        <w:br w:type="page"/>
      </w:r>
      <w:bookmarkStart w:id="4" w:name="_Toc28197"/>
      <w:bookmarkStart w:id="5" w:name="_Toc7294"/>
      <w:r>
        <w:rPr>
          <w:rFonts w:hint="eastAsia" w:ascii="黑体" w:hAnsi="黑体"/>
          <w:b/>
          <w:color w:val="auto"/>
          <w:sz w:val="28"/>
          <w:szCs w:val="28"/>
          <w:highlight w:val="none"/>
        </w:rPr>
        <w:t>附件2  授权委托书</w:t>
      </w:r>
      <w:bookmarkEnd w:id="4"/>
      <w:bookmarkEnd w:id="5"/>
      <w:r>
        <w:rPr>
          <w:rFonts w:hint="eastAsia" w:ascii="黑体" w:hAnsi="黑体"/>
          <w:b/>
          <w:color w:val="auto"/>
          <w:sz w:val="28"/>
          <w:szCs w:val="28"/>
          <w:highlight w:val="none"/>
        </w:rPr>
        <w:t xml:space="preserve">                </w:t>
      </w:r>
    </w:p>
    <w:p>
      <w:pPr>
        <w:overflowPunct w:val="0"/>
        <w:spacing w:line="320" w:lineRule="exact"/>
        <w:jc w:val="center"/>
        <w:rPr>
          <w:rFonts w:hint="eastAsia" w:ascii="楷体_GB2312" w:eastAsia="楷体_GB2312"/>
          <w:b/>
          <w:bCs/>
          <w:color w:val="auto"/>
          <w:sz w:val="36"/>
          <w:highlight w:val="none"/>
        </w:rPr>
      </w:pPr>
    </w:p>
    <w:p>
      <w:pPr>
        <w:widowControl/>
        <w:spacing w:line="400" w:lineRule="exact"/>
        <w:jc w:val="center"/>
        <w:rPr>
          <w:rFonts w:hint="eastAsia" w:ascii="楷体_GB2312" w:eastAsia="楷体_GB2312"/>
          <w:b/>
          <w:color w:val="auto"/>
          <w:sz w:val="36"/>
          <w:szCs w:val="36"/>
          <w:highlight w:val="none"/>
        </w:rPr>
      </w:pPr>
      <w:r>
        <w:rPr>
          <w:rFonts w:hint="eastAsia" w:ascii="楷体_GB2312" w:eastAsia="楷体_GB2312"/>
          <w:b/>
          <w:color w:val="auto"/>
          <w:sz w:val="36"/>
          <w:szCs w:val="36"/>
          <w:highlight w:val="none"/>
        </w:rPr>
        <w:t>授权委托书</w:t>
      </w:r>
    </w:p>
    <w:p>
      <w:pPr>
        <w:overflowPunct w:val="0"/>
        <w:spacing w:line="320" w:lineRule="exact"/>
        <w:jc w:val="center"/>
        <w:rPr>
          <w:rFonts w:hint="eastAsia"/>
          <w:color w:val="auto"/>
          <w:sz w:val="28"/>
          <w:highlight w:val="none"/>
        </w:rPr>
      </w:pPr>
    </w:p>
    <w:p>
      <w:pPr>
        <w:spacing w:line="320" w:lineRule="exact"/>
        <w:ind w:firstLine="480"/>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浙江江南要素交易中心有限公司：</w:t>
      </w:r>
    </w:p>
    <w:p>
      <w:pPr>
        <w:spacing w:line="360" w:lineRule="auto"/>
        <w:ind w:firstLine="482"/>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w:t>
      </w:r>
      <w:r>
        <w:rPr>
          <w:rFonts w:hint="eastAsia" w:ascii="宋体" w:hAnsi="宋体"/>
          <w:color w:val="auto"/>
          <w:sz w:val="24"/>
          <w:highlight w:val="none"/>
          <w:u w:val="single"/>
        </w:rPr>
        <w:t>法定代表人</w:t>
      </w:r>
      <w:r>
        <w:rPr>
          <w:rFonts w:hint="eastAsia" w:ascii="宋体" w:hAnsi="宋体"/>
          <w:color w:val="auto"/>
          <w:sz w:val="24"/>
          <w:highlight w:val="none"/>
        </w:rPr>
        <w:t>（或</w:t>
      </w:r>
      <w:r>
        <w:rPr>
          <w:rFonts w:hint="eastAsia" w:ascii="宋体" w:hAnsi="宋体"/>
          <w:color w:val="auto"/>
          <w:sz w:val="24"/>
          <w:highlight w:val="none"/>
          <w:u w:val="single"/>
        </w:rPr>
        <w:t>分支机构负责人</w:t>
      </w:r>
      <w:r>
        <w:rPr>
          <w:rFonts w:hint="eastAsia" w:ascii="宋体" w:hAnsi="宋体"/>
          <w:color w:val="auto"/>
          <w:sz w:val="24"/>
          <w:highlight w:val="none"/>
        </w:rPr>
        <w:t>），现授权委托本单位在职职工</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（姓名）以我方的名义参加</w:t>
      </w:r>
      <w:r>
        <w:rPr>
          <w:rFonts w:hint="eastAsia" w:ascii="宋体" w:hAnsi="宋体"/>
          <w:color w:val="auto"/>
          <w:sz w:val="24"/>
          <w:highlight w:val="none"/>
          <w:lang w:eastAsia="zh-CN"/>
        </w:rPr>
        <w:t>海宁市住房和城乡建设局2026年第一期“两金”资金竞争性存放</w:t>
      </w:r>
      <w:r>
        <w:rPr>
          <w:rFonts w:hint="eastAsia" w:ascii="宋体" w:hAnsi="宋体"/>
          <w:color w:val="auto"/>
          <w:sz w:val="24"/>
          <w:highlight w:val="none"/>
          <w:lang w:val="en-US" w:eastAsia="zh-CN"/>
        </w:rPr>
        <w:t>项目</w:t>
      </w:r>
      <w:r>
        <w:rPr>
          <w:rFonts w:hint="eastAsia" w:ascii="宋体" w:hAnsi="宋体"/>
          <w:color w:val="auto"/>
          <w:sz w:val="24"/>
          <w:highlight w:val="none"/>
        </w:rPr>
        <w:t>（项目编号</w:t>
      </w:r>
      <w:r>
        <w:rPr>
          <w:rFonts w:hint="eastAsia" w:ascii="宋体" w:hAnsi="宋体"/>
          <w:color w:val="auto"/>
          <w:sz w:val="24"/>
          <w:highlight w:val="none"/>
          <w:lang w:eastAsia="zh-CN"/>
        </w:rPr>
        <w:t>ZJ202601</w:t>
      </w:r>
      <w:r>
        <w:rPr>
          <w:rFonts w:hint="eastAsia" w:ascii="宋体" w:hAnsi="宋体"/>
          <w:color w:val="auto"/>
          <w:sz w:val="24"/>
          <w:highlight w:val="none"/>
        </w:rPr>
        <w:t>)的投标活动，并代表我方全权办理针对上述项目的投标、开标、评标、签约等具体事务和签署相关文件。</w:t>
      </w:r>
    </w:p>
    <w:p>
      <w:pPr>
        <w:spacing w:line="360" w:lineRule="auto"/>
        <w:ind w:firstLine="482"/>
        <w:rPr>
          <w:rFonts w:ascii="宋体" w:hAnsi="宋体"/>
          <w:color w:val="auto"/>
          <w:sz w:val="24"/>
          <w:highlight w:val="none"/>
        </w:rPr>
      </w:pPr>
      <w:r>
        <w:rPr>
          <w:rFonts w:hint="eastAsia" w:ascii="宋体" w:hAnsi="宋体"/>
          <w:color w:val="auto"/>
          <w:sz w:val="24"/>
          <w:highlight w:val="none"/>
        </w:rPr>
        <w:t>我方对被授权人的签名事项负全部责任。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在撤销授权的书面通知以前，本授权书一直有效。被授权人在授权书有效期内签署的所有文件不因授权的撤销而失效。</w:t>
      </w:r>
    </w:p>
    <w:p>
      <w:pPr>
        <w:spacing w:line="360" w:lineRule="auto"/>
        <w:ind w:firstLine="482"/>
        <w:rPr>
          <w:rFonts w:ascii="宋体" w:hAnsi="宋体"/>
          <w:color w:val="auto"/>
          <w:sz w:val="24"/>
          <w:highlight w:val="none"/>
        </w:rPr>
      </w:pPr>
      <w:r>
        <w:rPr>
          <w:rFonts w:hint="eastAsia" w:ascii="宋体" w:hAnsi="宋体"/>
          <w:color w:val="auto"/>
          <w:sz w:val="24"/>
          <w:highlight w:val="none"/>
        </w:rPr>
        <w:t>被授权人无转委托权，特此委托。</w:t>
      </w:r>
    </w:p>
    <w:p>
      <w:pPr>
        <w:spacing w:line="400" w:lineRule="exact"/>
        <w:ind w:firstLine="480"/>
        <w:rPr>
          <w:rFonts w:ascii="宋体" w:hAnsi="宋体"/>
          <w:color w:val="auto"/>
          <w:sz w:val="24"/>
          <w:highlight w:val="none"/>
        </w:rPr>
      </w:pP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被授权人签章：</w:t>
      </w:r>
      <w:r>
        <w:rPr>
          <w:rFonts w:ascii="宋体" w:hAnsi="宋体"/>
          <w:color w:val="auto"/>
          <w:sz w:val="24"/>
          <w:highlight w:val="none"/>
        </w:rPr>
        <w:t xml:space="preserve">                 </w:t>
      </w:r>
      <w:r>
        <w:rPr>
          <w:rFonts w:hint="eastAsia" w:ascii="宋体" w:hAnsi="宋体"/>
          <w:color w:val="auto"/>
          <w:sz w:val="24"/>
          <w:highlight w:val="none"/>
        </w:rPr>
        <w:t>法定代表人（或分支机构负责人）签章：</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职务：</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rPr>
        <w:t xml:space="preserve">           </w:t>
      </w:r>
    </w:p>
    <w:p>
      <w:pPr>
        <w:spacing w:line="600" w:lineRule="exact"/>
        <w:ind w:firstLine="482"/>
        <w:rPr>
          <w:rFonts w:ascii="宋体" w:hAnsi="宋体"/>
          <w:color w:val="auto"/>
          <w:sz w:val="24"/>
          <w:highlight w:val="none"/>
        </w:rPr>
      </w:pPr>
      <w:r>
        <w:rPr>
          <w:rFonts w:hint="eastAsia" w:ascii="宋体" w:hAnsi="宋体"/>
          <w:color w:val="auto"/>
          <w:sz w:val="24"/>
          <w:highlight w:val="none"/>
        </w:rPr>
        <w:t>被授权人身份证号码：</w:t>
      </w:r>
      <w:r>
        <w:rPr>
          <w:rFonts w:ascii="宋体" w:hAnsi="宋体"/>
          <w:color w:val="auto"/>
          <w:sz w:val="24"/>
          <w:highlight w:val="none"/>
        </w:rPr>
        <w:t xml:space="preserve">                                            </w:t>
      </w:r>
    </w:p>
    <w:p>
      <w:pPr>
        <w:spacing w:line="600" w:lineRule="exact"/>
        <w:ind w:firstLine="480"/>
        <w:rPr>
          <w:rFonts w:hint="eastAsia" w:ascii="宋体" w:hAnsi="宋体"/>
          <w:color w:val="auto"/>
          <w:sz w:val="24"/>
          <w:highlight w:val="none"/>
        </w:rPr>
      </w:pPr>
      <w:r>
        <w:rPr>
          <w:rFonts w:hint="eastAsia" w:ascii="宋体" w:hAnsi="宋体"/>
          <w:color w:val="auto"/>
          <w:sz w:val="24"/>
          <w:highlight w:val="none"/>
        </w:rPr>
        <w:t>手机：</w:t>
      </w: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ind w:firstLine="480"/>
        <w:rPr>
          <w:rFonts w:hint="eastAsia" w:ascii="宋体" w:hAnsi="宋体"/>
          <w:color w:val="auto"/>
          <w:sz w:val="24"/>
          <w:highlight w:val="none"/>
        </w:rPr>
      </w:pPr>
    </w:p>
    <w:p>
      <w:pPr>
        <w:spacing w:line="320" w:lineRule="exact"/>
        <w:rPr>
          <w:rFonts w:hint="eastAsia" w:ascii="宋体" w:hAnsi="宋体"/>
          <w:b/>
          <w:color w:val="auto"/>
          <w:sz w:val="24"/>
          <w:highlight w:val="none"/>
        </w:rPr>
      </w:pPr>
      <w:r>
        <w:rPr>
          <w:rFonts w:hint="eastAsia" w:ascii="宋体" w:hAnsi="宋体"/>
          <w:b/>
          <w:color w:val="auto"/>
          <w:sz w:val="24"/>
          <w:highlight w:val="none"/>
        </w:rPr>
        <w:t>投标人（公章）：</w:t>
      </w:r>
    </w:p>
    <w:p>
      <w:pPr>
        <w:spacing w:line="320" w:lineRule="exact"/>
        <w:rPr>
          <w:rFonts w:hint="eastAsia" w:ascii="宋体" w:hAnsi="宋体"/>
          <w:b/>
          <w:color w:val="auto"/>
          <w:sz w:val="24"/>
          <w:highlight w:val="none"/>
        </w:rPr>
      </w:pPr>
      <w:r>
        <w:rPr>
          <w:rFonts w:hint="eastAsia" w:ascii="宋体" w:hAnsi="宋体"/>
          <w:b/>
          <w:color w:val="auto"/>
          <w:sz w:val="24"/>
          <w:highlight w:val="none"/>
        </w:rPr>
        <w:t>日期：   　年　　  月　　  日</w:t>
      </w:r>
    </w:p>
    <w:p>
      <w:pPr>
        <w:spacing w:line="320" w:lineRule="exact"/>
        <w:rPr>
          <w:rFonts w:hint="eastAsia" w:ascii="宋体" w:hAnsi="宋体"/>
          <w:b/>
          <w:color w:val="auto"/>
          <w:sz w:val="24"/>
          <w:highlight w:val="none"/>
        </w:rPr>
      </w:pPr>
      <w:r>
        <w:rPr>
          <w:rFonts w:hint="eastAsia" w:ascii="宋体" w:hAnsi="宋体"/>
          <w:b/>
          <w:color w:val="auto"/>
          <w:sz w:val="24"/>
          <w:highlight w:val="none"/>
        </w:rPr>
        <w:br w:type="page"/>
      </w:r>
    </w:p>
    <w:bookmarkEnd w:id="3"/>
    <w:p>
      <w:pPr>
        <w:pStyle w:val="3"/>
        <w:spacing w:line="320" w:lineRule="exact"/>
        <w:rPr>
          <w:rFonts w:hint="eastAsia" w:ascii="黑体" w:hAnsi="黑体" w:eastAsia="黑体"/>
          <w:color w:val="auto"/>
          <w:sz w:val="32"/>
          <w:szCs w:val="32"/>
          <w:highlight w:val="none"/>
          <w:lang w:val="en-US" w:eastAsia="zh-CN"/>
        </w:rPr>
      </w:pPr>
      <w:bookmarkStart w:id="6" w:name="_Toc24030"/>
      <w:bookmarkStart w:id="7" w:name="_Toc197743834"/>
      <w:bookmarkStart w:id="8" w:name="_Toc178668985"/>
      <w:bookmarkStart w:id="9" w:name="_Toc385255169"/>
      <w:bookmarkStart w:id="10" w:name="_Toc260750062"/>
      <w:r>
        <w:rPr>
          <w:rFonts w:hint="eastAsia" w:ascii="黑体" w:hAnsi="黑体"/>
          <w:b w:val="0"/>
          <w:color w:val="auto"/>
          <w:sz w:val="28"/>
          <w:szCs w:val="28"/>
          <w:highlight w:val="none"/>
        </w:rPr>
        <w:t>附件</w:t>
      </w:r>
      <w:r>
        <w:rPr>
          <w:rFonts w:hint="eastAsia" w:ascii="黑体" w:hAnsi="黑体"/>
          <w:b w:val="0"/>
          <w:color w:val="auto"/>
          <w:sz w:val="28"/>
          <w:szCs w:val="28"/>
          <w:highlight w:val="none"/>
          <w:lang w:val="en-US" w:eastAsia="zh-CN"/>
        </w:rPr>
        <w:t>3</w:t>
      </w:r>
      <w:r>
        <w:rPr>
          <w:rFonts w:hint="eastAsia" w:ascii="黑体" w:hAnsi="黑体"/>
          <w:b w:val="0"/>
          <w:color w:val="auto"/>
          <w:sz w:val="28"/>
          <w:szCs w:val="28"/>
          <w:highlight w:val="none"/>
        </w:rPr>
        <w:t xml:space="preserve">  </w:t>
      </w:r>
      <w:r>
        <w:rPr>
          <w:rFonts w:hint="eastAsia" w:ascii="黑体" w:hAnsi="黑体"/>
          <w:b w:val="0"/>
          <w:bCs/>
          <w:color w:val="auto"/>
          <w:sz w:val="28"/>
          <w:szCs w:val="28"/>
          <w:highlight w:val="none"/>
          <w:lang w:val="en-US" w:eastAsia="zh-CN"/>
        </w:rPr>
        <w:t>中标承诺书</w:t>
      </w:r>
      <w:bookmarkEnd w:id="6"/>
    </w:p>
    <w:p>
      <w:pPr>
        <w:snapToGrid w:val="0"/>
        <w:spacing w:line="540" w:lineRule="exact"/>
        <w:jc w:val="center"/>
        <w:rPr>
          <w:rFonts w:hint="eastAsia"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中标承诺书</w:t>
      </w:r>
    </w:p>
    <w:p>
      <w:pPr>
        <w:snapToGrid w:val="0"/>
        <w:spacing w:line="540" w:lineRule="exact"/>
        <w:jc w:val="left"/>
        <w:rPr>
          <w:rFonts w:ascii="黑体" w:hAnsi="黑体" w:eastAsia="黑体"/>
          <w:color w:val="auto"/>
          <w:sz w:val="32"/>
          <w:szCs w:val="32"/>
          <w:highlight w:val="none"/>
        </w:rPr>
      </w:pPr>
    </w:p>
    <w:p>
      <w:pPr>
        <w:snapToGrid w:val="0"/>
        <w:spacing w:line="360" w:lineRule="auto"/>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海宁市住房和城乡建设局</w:t>
      </w:r>
      <w:r>
        <w:rPr>
          <w:rFonts w:hint="eastAsia" w:ascii="仿宋_GB2312" w:hAnsi="宋体" w:eastAsia="仿宋_GB2312"/>
          <w:color w:val="auto"/>
          <w:sz w:val="32"/>
          <w:szCs w:val="32"/>
          <w:highlight w:val="none"/>
        </w:rPr>
        <w:t>：</w:t>
      </w:r>
    </w:p>
    <w:p>
      <w:pPr>
        <w:snapToGrid w:val="0"/>
        <w:spacing w:line="360" w:lineRule="auto"/>
        <w:ind w:firstLine="63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我单位若成为</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期</w:t>
      </w:r>
      <w:r>
        <w:rPr>
          <w:rFonts w:hint="eastAsia" w:ascii="仿宋_GB2312" w:hAnsi="宋体" w:eastAsia="仿宋_GB2312"/>
          <w:color w:val="auto"/>
          <w:sz w:val="32"/>
          <w:szCs w:val="32"/>
          <w:highlight w:val="none"/>
          <w:lang w:eastAsia="zh-CN"/>
        </w:rPr>
        <w:t>海宁市住房和城乡建设局“两金”资金竞争性存放</w:t>
      </w:r>
      <w:r>
        <w:rPr>
          <w:rFonts w:hint="eastAsia" w:ascii="仿宋_GB2312" w:hAnsi="宋体" w:eastAsia="仿宋_GB2312"/>
          <w:color w:val="auto"/>
          <w:sz w:val="32"/>
          <w:szCs w:val="32"/>
          <w:highlight w:val="none"/>
        </w:rPr>
        <w:t>项目中标人，郑重承诺：</w:t>
      </w:r>
    </w:p>
    <w:p>
      <w:pPr>
        <w:snapToGrid w:val="0"/>
        <w:spacing w:line="360" w:lineRule="auto"/>
        <w:ind w:firstLine="63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我单位将根据招标文件中相关规定，及时提供面值相当于中标金额1</w:t>
      </w:r>
      <w:r>
        <w:rPr>
          <w:rFonts w:hint="eastAsia" w:ascii="仿宋_GB2312" w:hAnsi="宋体" w:eastAsia="仿宋_GB2312"/>
          <w:color w:val="auto"/>
          <w:sz w:val="32"/>
          <w:szCs w:val="32"/>
          <w:highlight w:val="none"/>
          <w:lang w:val="en-US" w:eastAsia="zh-CN"/>
        </w:rPr>
        <w:t>15</w:t>
      </w:r>
      <w:r>
        <w:rPr>
          <w:rFonts w:hint="eastAsia" w:ascii="仿宋_GB2312" w:hAnsi="宋体" w:eastAsia="仿宋_GB2312"/>
          <w:color w:val="auto"/>
          <w:sz w:val="32"/>
          <w:szCs w:val="32"/>
          <w:highlight w:val="none"/>
        </w:rPr>
        <w:t>%的国债或地方债券作为质押，否则放弃中标。</w:t>
      </w:r>
    </w:p>
    <w:p>
      <w:pPr>
        <w:snapToGrid w:val="0"/>
        <w:spacing w:line="360" w:lineRule="auto"/>
        <w:jc w:val="left"/>
        <w:rPr>
          <w:rFonts w:hint="eastAsia" w:ascii="仿宋_GB2312" w:hAnsi="宋体" w:eastAsia="仿宋_GB2312"/>
          <w:color w:val="auto"/>
          <w:sz w:val="32"/>
          <w:szCs w:val="32"/>
          <w:highlight w:val="none"/>
        </w:rPr>
      </w:pPr>
    </w:p>
    <w:p>
      <w:pPr>
        <w:snapToGrid w:val="0"/>
        <w:spacing w:line="360" w:lineRule="auto"/>
        <w:jc w:val="left"/>
        <w:rPr>
          <w:rFonts w:hint="eastAsia" w:ascii="仿宋_GB2312" w:hAnsi="宋体" w:eastAsia="仿宋_GB2312"/>
          <w:color w:val="auto"/>
          <w:sz w:val="32"/>
          <w:szCs w:val="32"/>
          <w:highlight w:val="none"/>
        </w:rPr>
      </w:pPr>
    </w:p>
    <w:p>
      <w:pPr>
        <w:snapToGrid w:val="0"/>
        <w:spacing w:line="540" w:lineRule="exact"/>
        <w:ind w:firstLine="221" w:firstLineChars="50"/>
        <w:jc w:val="left"/>
        <w:rPr>
          <w:rFonts w:hint="eastAsia" w:ascii="仿宋_GB2312" w:hAnsi="宋体" w:eastAsia="仿宋_GB2312"/>
          <w:b/>
          <w:color w:val="auto"/>
          <w:sz w:val="44"/>
          <w:szCs w:val="44"/>
          <w:highlight w:val="none"/>
        </w:rPr>
      </w:pPr>
    </w:p>
    <w:p>
      <w:pPr>
        <w:snapToGrid w:val="0"/>
        <w:spacing w:line="540" w:lineRule="exact"/>
        <w:ind w:firstLine="221" w:firstLineChars="50"/>
        <w:jc w:val="left"/>
        <w:rPr>
          <w:rFonts w:hint="eastAsia" w:ascii="仿宋_GB2312" w:hAnsi="宋体" w:eastAsia="仿宋_GB2312"/>
          <w:b/>
          <w:color w:val="auto"/>
          <w:sz w:val="44"/>
          <w:szCs w:val="44"/>
          <w:highlight w:val="none"/>
        </w:rPr>
      </w:pPr>
    </w:p>
    <w:p>
      <w:pPr>
        <w:snapToGrid w:val="0"/>
        <w:spacing w:line="360" w:lineRule="auto"/>
        <w:jc w:val="left"/>
        <w:rPr>
          <w:rFonts w:ascii="仿宋_GB2312" w:hAnsi="宋体" w:eastAsia="仿宋_GB2312"/>
          <w:color w:val="auto"/>
          <w:sz w:val="32"/>
          <w:szCs w:val="32"/>
          <w:highlight w:val="none"/>
        </w:rPr>
      </w:pPr>
    </w:p>
    <w:p>
      <w:pPr>
        <w:snapToGrid w:val="0"/>
        <w:spacing w:line="360" w:lineRule="auto"/>
        <w:ind w:firstLine="4160" w:firstLineChars="1300"/>
        <w:jc w:val="lef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（单位公章）：</w:t>
      </w:r>
    </w:p>
    <w:p>
      <w:pPr>
        <w:snapToGrid w:val="0"/>
        <w:spacing w:line="360" w:lineRule="auto"/>
        <w:ind w:firstLine="3520" w:firstLineChars="1100"/>
        <w:jc w:val="lef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单位主要负责人（签字）：</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 xml:space="preserve">  </w:t>
      </w:r>
    </w:p>
    <w:p>
      <w:pPr>
        <w:snapToGrid w:val="0"/>
        <w:spacing w:line="360" w:lineRule="auto"/>
        <w:ind w:firstLine="2880" w:firstLineChars="900"/>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年</w:t>
      </w:r>
      <w:r>
        <w:rPr>
          <w:rFonts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rPr>
        <w:t xml:space="preserve">月 </w:t>
      </w:r>
      <w:r>
        <w:rPr>
          <w:rFonts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rPr>
        <w:t>日</w:t>
      </w:r>
    </w:p>
    <w:p>
      <w:pPr>
        <w:pStyle w:val="3"/>
        <w:spacing w:line="320" w:lineRule="exact"/>
        <w:rPr>
          <w:rFonts w:hint="eastAsia" w:ascii="黑体" w:hAnsi="黑体"/>
          <w:b w:val="0"/>
          <w:color w:val="auto"/>
          <w:sz w:val="28"/>
          <w:szCs w:val="28"/>
          <w:highlight w:val="none"/>
        </w:rPr>
      </w:pPr>
      <w:r>
        <w:rPr>
          <w:rFonts w:hint="eastAsia" w:ascii="黑体" w:hAnsi="黑体" w:eastAsia="黑体"/>
          <w:color w:val="auto"/>
          <w:sz w:val="32"/>
          <w:szCs w:val="32"/>
          <w:highlight w:val="none"/>
        </w:rPr>
        <w:br w:type="page"/>
      </w:r>
      <w:bookmarkStart w:id="11" w:name="_Toc7829"/>
      <w:r>
        <w:rPr>
          <w:rFonts w:hint="eastAsia" w:ascii="黑体" w:hAnsi="黑体"/>
          <w:b w:val="0"/>
          <w:bCs/>
          <w:color w:val="auto"/>
          <w:sz w:val="28"/>
          <w:szCs w:val="28"/>
          <w:highlight w:val="none"/>
        </w:rPr>
        <w:t>附件</w:t>
      </w:r>
      <w:r>
        <w:rPr>
          <w:rFonts w:hint="eastAsia" w:ascii="黑体" w:hAnsi="黑体"/>
          <w:b w:val="0"/>
          <w:bCs/>
          <w:color w:val="auto"/>
          <w:sz w:val="28"/>
          <w:szCs w:val="28"/>
          <w:highlight w:val="none"/>
          <w:lang w:val="en-US" w:eastAsia="zh-CN"/>
        </w:rPr>
        <w:t>4</w:t>
      </w:r>
      <w:r>
        <w:rPr>
          <w:rFonts w:hint="eastAsia" w:ascii="黑体" w:hAnsi="黑体" w:eastAsia="黑体"/>
          <w:color w:val="auto"/>
          <w:sz w:val="32"/>
          <w:szCs w:val="32"/>
          <w:highlight w:val="none"/>
          <w:lang w:val="en-US" w:eastAsia="zh-CN"/>
        </w:rPr>
        <w:t xml:space="preserve"> </w:t>
      </w:r>
      <w:r>
        <w:rPr>
          <w:rFonts w:hint="eastAsia" w:ascii="黑体" w:hAnsi="黑体"/>
          <w:b w:val="0"/>
          <w:color w:val="auto"/>
          <w:sz w:val="28"/>
          <w:szCs w:val="28"/>
          <w:highlight w:val="none"/>
        </w:rPr>
        <w:t>投标人承诺书</w:t>
      </w:r>
      <w:bookmarkEnd w:id="11"/>
      <w:r>
        <w:rPr>
          <w:rFonts w:hint="eastAsia" w:ascii="黑体" w:hAnsi="黑体"/>
          <w:b w:val="0"/>
          <w:color w:val="auto"/>
          <w:sz w:val="28"/>
          <w:szCs w:val="28"/>
          <w:highlight w:val="none"/>
        </w:rPr>
        <w:t xml:space="preserve">                            </w:t>
      </w:r>
    </w:p>
    <w:p>
      <w:pPr>
        <w:overflowPunct w:val="0"/>
        <w:spacing w:line="320" w:lineRule="exact"/>
        <w:jc w:val="center"/>
        <w:rPr>
          <w:rFonts w:hint="eastAsia" w:ascii="楷体_GB2312" w:eastAsia="楷体_GB2312"/>
          <w:b/>
          <w:bCs/>
          <w:color w:val="auto"/>
          <w:sz w:val="36"/>
          <w:highlight w:val="none"/>
        </w:rPr>
      </w:pPr>
    </w:p>
    <w:p>
      <w:pPr>
        <w:widowControl/>
        <w:spacing w:line="400" w:lineRule="exact"/>
        <w:jc w:val="center"/>
        <w:rPr>
          <w:rFonts w:hint="eastAsia" w:ascii="楷体_GB2312" w:eastAsia="楷体_GB2312"/>
          <w:b/>
          <w:color w:val="auto"/>
          <w:sz w:val="36"/>
          <w:szCs w:val="36"/>
          <w:highlight w:val="none"/>
        </w:rPr>
      </w:pPr>
      <w:r>
        <w:rPr>
          <w:rFonts w:ascii="楷体_GB2312" w:eastAsia="楷体_GB2312"/>
          <w:b/>
          <w:color w:val="auto"/>
          <w:sz w:val="36"/>
          <w:szCs w:val="36"/>
          <w:highlight w:val="none"/>
        </w:rPr>
        <w:t>投标人</w:t>
      </w:r>
      <w:r>
        <w:rPr>
          <w:rFonts w:hint="eastAsia" w:ascii="楷体_GB2312" w:eastAsia="楷体_GB2312"/>
          <w:b/>
          <w:color w:val="auto"/>
          <w:sz w:val="36"/>
          <w:szCs w:val="36"/>
          <w:highlight w:val="none"/>
        </w:rPr>
        <w:t>承诺</w:t>
      </w:r>
      <w:r>
        <w:rPr>
          <w:rFonts w:ascii="楷体_GB2312" w:eastAsia="楷体_GB2312"/>
          <w:b/>
          <w:color w:val="auto"/>
          <w:sz w:val="36"/>
          <w:szCs w:val="36"/>
          <w:highlight w:val="none"/>
        </w:rPr>
        <w:t>书</w:t>
      </w:r>
    </w:p>
    <w:p>
      <w:pPr>
        <w:widowControl/>
        <w:spacing w:line="400" w:lineRule="exact"/>
        <w:jc w:val="center"/>
        <w:rPr>
          <w:rFonts w:hint="eastAsia" w:ascii="楷体_GB2312" w:eastAsia="楷体_GB2312"/>
          <w:b/>
          <w:color w:val="auto"/>
          <w:sz w:val="36"/>
          <w:szCs w:val="36"/>
          <w:highlight w:val="none"/>
        </w:rPr>
      </w:pPr>
    </w:p>
    <w:p>
      <w:pPr>
        <w:pStyle w:val="4"/>
        <w:spacing w:line="360" w:lineRule="auto"/>
        <w:rPr>
          <w:color w:val="auto"/>
          <w:highlight w:val="none"/>
        </w:rPr>
      </w:pPr>
      <w:r>
        <w:rPr>
          <w:rFonts w:hint="eastAsia"/>
          <w:color w:val="auto"/>
          <w:highlight w:val="none"/>
          <w:u w:val="single"/>
        </w:rPr>
        <w:t>浙江江南要素交易中心有限公司</w:t>
      </w:r>
      <w:r>
        <w:rPr>
          <w:color w:val="auto"/>
          <w:highlight w:val="none"/>
        </w:rPr>
        <w:t>：</w:t>
      </w:r>
    </w:p>
    <w:p>
      <w:pPr>
        <w:spacing w:line="360" w:lineRule="auto"/>
        <w:ind w:firstLine="482"/>
        <w:rPr>
          <w:rFonts w:hint="eastAsia" w:ascii="宋体" w:hAnsi="宋体"/>
          <w:color w:val="auto"/>
          <w:sz w:val="24"/>
          <w:highlight w:val="none"/>
        </w:rPr>
      </w:pPr>
      <w:r>
        <w:rPr>
          <w:rFonts w:ascii="宋体" w:hAnsi="宋体"/>
          <w:color w:val="auto"/>
          <w:sz w:val="24"/>
          <w:highlight w:val="none"/>
        </w:rPr>
        <w:t>本</w:t>
      </w:r>
      <w:r>
        <w:rPr>
          <w:rFonts w:hint="eastAsia" w:ascii="宋体" w:hAnsi="宋体"/>
          <w:color w:val="auto"/>
          <w:sz w:val="24"/>
          <w:highlight w:val="none"/>
        </w:rPr>
        <w:t>行</w:t>
      </w:r>
      <w:r>
        <w:rPr>
          <w:rFonts w:ascii="宋体" w:hAnsi="宋体"/>
          <w:color w:val="auto"/>
          <w:sz w:val="24"/>
          <w:highlight w:val="none"/>
        </w:rPr>
        <w:t>自愿参加</w:t>
      </w:r>
      <w:r>
        <w:rPr>
          <w:rFonts w:hint="eastAsia" w:ascii="宋体" w:hAnsi="宋体"/>
          <w:color w:val="auto"/>
          <w:sz w:val="24"/>
          <w:highlight w:val="none"/>
          <w:lang w:eastAsia="zh-CN"/>
        </w:rPr>
        <w:t>海宁市住房和城乡建设局2026年第一期“两金”资金竞争性存放</w:t>
      </w:r>
      <w:r>
        <w:rPr>
          <w:rFonts w:hint="eastAsia" w:ascii="宋体" w:hAnsi="宋体"/>
          <w:color w:val="auto"/>
          <w:sz w:val="24"/>
          <w:highlight w:val="none"/>
          <w:lang w:val="en-US" w:eastAsia="zh-CN"/>
        </w:rPr>
        <w:t>项目</w:t>
      </w:r>
      <w:r>
        <w:rPr>
          <w:rFonts w:ascii="宋体" w:hAnsi="宋体"/>
          <w:color w:val="auto"/>
          <w:sz w:val="24"/>
          <w:highlight w:val="none"/>
        </w:rPr>
        <w:t>（项目编号：</w:t>
      </w:r>
      <w:r>
        <w:rPr>
          <w:rFonts w:hint="eastAsia" w:ascii="宋体" w:hAnsi="宋体"/>
          <w:color w:val="auto"/>
          <w:sz w:val="24"/>
          <w:highlight w:val="none"/>
          <w:lang w:eastAsia="zh-CN"/>
        </w:rPr>
        <w:t>ZJ202601</w:t>
      </w:r>
      <w:r>
        <w:rPr>
          <w:rFonts w:ascii="宋体" w:hAnsi="宋体"/>
          <w:color w:val="auto"/>
          <w:sz w:val="24"/>
          <w:highlight w:val="none"/>
        </w:rPr>
        <w:t>）的投标，并</w:t>
      </w:r>
      <w:r>
        <w:rPr>
          <w:rFonts w:hint="eastAsia" w:ascii="宋体" w:hAnsi="宋体"/>
          <w:color w:val="auto"/>
          <w:sz w:val="24"/>
          <w:highlight w:val="none"/>
        </w:rPr>
        <w:t>声明如下：</w:t>
      </w:r>
    </w:p>
    <w:p>
      <w:pPr>
        <w:spacing w:line="360" w:lineRule="auto"/>
        <w:ind w:firstLine="482"/>
        <w:rPr>
          <w:rFonts w:ascii="宋体" w:hAnsi="宋体"/>
          <w:color w:val="auto"/>
          <w:sz w:val="24"/>
          <w:highlight w:val="none"/>
        </w:rPr>
      </w:pPr>
      <w:r>
        <w:rPr>
          <w:rFonts w:hint="eastAsia" w:ascii="宋体" w:hAnsi="宋体"/>
          <w:color w:val="auto"/>
          <w:sz w:val="24"/>
          <w:highlight w:val="none"/>
        </w:rPr>
        <w:t>1</w:t>
      </w:r>
      <w:r>
        <w:rPr>
          <w:rFonts w:hint="eastAsia" w:ascii="宋体" w:hAnsi="宋体" w:cs="仿宋_GB2312"/>
          <w:color w:val="auto"/>
          <w:sz w:val="24"/>
          <w:highlight w:val="none"/>
        </w:rPr>
        <w:t>.</w:t>
      </w:r>
      <w:r>
        <w:rPr>
          <w:rFonts w:hint="eastAsia" w:ascii="宋体" w:hAnsi="宋体"/>
          <w:color w:val="auto"/>
          <w:sz w:val="24"/>
          <w:highlight w:val="none"/>
        </w:rPr>
        <w:t>本行</w:t>
      </w:r>
      <w:r>
        <w:rPr>
          <w:rFonts w:ascii="宋体" w:hAnsi="宋体"/>
          <w:color w:val="auto"/>
          <w:sz w:val="24"/>
          <w:highlight w:val="none"/>
        </w:rPr>
        <w:t>保证投标文件中所列举的投标报价及相关文件和</w:t>
      </w:r>
      <w:r>
        <w:rPr>
          <w:rFonts w:hint="eastAsia" w:ascii="宋体" w:hAnsi="宋体"/>
          <w:color w:val="auto"/>
          <w:sz w:val="24"/>
          <w:highlight w:val="none"/>
        </w:rPr>
        <w:t>投标人</w:t>
      </w:r>
      <w:r>
        <w:rPr>
          <w:rFonts w:ascii="宋体" w:hAnsi="宋体"/>
          <w:color w:val="auto"/>
          <w:sz w:val="24"/>
          <w:highlight w:val="none"/>
        </w:rPr>
        <w:t>基本情况资料是真实的、合法的。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s="仿宋_GB2312"/>
          <w:color w:val="auto"/>
          <w:sz w:val="24"/>
          <w:highlight w:val="none"/>
        </w:rPr>
        <w:t>.</w:t>
      </w:r>
      <w:r>
        <w:rPr>
          <w:rFonts w:hint="eastAsia" w:ascii="宋体" w:hAnsi="宋体"/>
          <w:color w:val="auto"/>
          <w:sz w:val="24"/>
          <w:highlight w:val="none"/>
        </w:rPr>
        <w:t>本行在本书签字或盖章之前，已认真、仔细阅读过该项目招标文件。本行经过对该项目慎查验后，确认该项目描述及揭示的风险和权利状况与本行的独立判断相一致，完全知悉并接受该项目的所有真伪、瑕疵、缺陷及由此造成的一切风险损失及预期利益的不获得。对本行所享有的权利和承担的义务清楚明白，对本项目招标文件已充分的理解且无异议，同意并接受本项目招标文件的约束。</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s="仿宋_GB2312"/>
          <w:color w:val="auto"/>
          <w:sz w:val="24"/>
          <w:highlight w:val="none"/>
        </w:rPr>
        <w:t>.</w:t>
      </w:r>
      <w:r>
        <w:rPr>
          <w:rFonts w:hint="eastAsia" w:ascii="宋体" w:hAnsi="宋体"/>
          <w:color w:val="auto"/>
          <w:sz w:val="24"/>
          <w:highlight w:val="none"/>
        </w:rPr>
        <w:t>本行依法开展经营活动，近3年内在经营活动中无重大违法违规记录及重大违约事件。</w:t>
      </w:r>
    </w:p>
    <w:p>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s="仿宋_GB2312"/>
          <w:color w:val="auto"/>
          <w:sz w:val="24"/>
          <w:highlight w:val="none"/>
        </w:rPr>
        <w:t>.</w:t>
      </w:r>
      <w:r>
        <w:rPr>
          <w:rFonts w:hint="eastAsia" w:ascii="宋体" w:hAnsi="宋体"/>
          <w:color w:val="auto"/>
          <w:sz w:val="24"/>
          <w:highlight w:val="none"/>
        </w:rPr>
        <w:t>本行系独立判断该项目法律上的有效性和商业价值，该项目招标文件的相关判断或说明，不作为本行法律上或商业上判断的依据。本行若成为中标人，愿意按本招标文件的约定签订定期存款协议，同时按该项目的要求履行全部义务。</w:t>
      </w: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60" w:lineRule="auto"/>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320" w:lineRule="exact"/>
        <w:rPr>
          <w:rFonts w:hint="eastAsia" w:ascii="宋体" w:hAnsi="宋体"/>
          <w:b/>
          <w:color w:val="auto"/>
          <w:sz w:val="24"/>
          <w:highlight w:val="none"/>
        </w:rPr>
      </w:pPr>
    </w:p>
    <w:p>
      <w:pPr>
        <w:spacing w:line="600" w:lineRule="exact"/>
        <w:ind w:firstLine="236" w:firstLineChars="98"/>
        <w:rPr>
          <w:rFonts w:hint="eastAsia" w:ascii="宋体" w:hAnsi="宋体"/>
          <w:b/>
          <w:color w:val="auto"/>
          <w:sz w:val="24"/>
          <w:highlight w:val="none"/>
        </w:rPr>
      </w:pPr>
      <w:r>
        <w:rPr>
          <w:rFonts w:hint="eastAsia" w:ascii="宋体" w:hAnsi="宋体"/>
          <w:b/>
          <w:color w:val="auto"/>
          <w:sz w:val="24"/>
          <w:highlight w:val="none"/>
        </w:rPr>
        <w:t>投标人（公章）：</w:t>
      </w:r>
    </w:p>
    <w:p>
      <w:pPr>
        <w:spacing w:line="600" w:lineRule="exact"/>
        <w:ind w:firstLine="236" w:firstLineChars="98"/>
        <w:rPr>
          <w:rFonts w:hint="eastAsia" w:ascii="宋体" w:hAnsi="宋体"/>
          <w:b/>
          <w:color w:val="auto"/>
          <w:sz w:val="24"/>
          <w:highlight w:val="none"/>
        </w:rPr>
      </w:pPr>
      <w:r>
        <w:rPr>
          <w:rFonts w:hint="eastAsia" w:ascii="宋体" w:hAnsi="宋体"/>
          <w:b/>
          <w:color w:val="auto"/>
          <w:sz w:val="24"/>
          <w:highlight w:val="none"/>
        </w:rPr>
        <w:t>投标人代表（签</w:t>
      </w:r>
      <w:r>
        <w:rPr>
          <w:rFonts w:hint="eastAsia" w:ascii="宋体" w:hAnsi="宋体"/>
          <w:b/>
          <w:color w:val="auto"/>
          <w:sz w:val="24"/>
          <w:highlight w:val="none"/>
          <w:lang w:val="en-US" w:eastAsia="zh-CN"/>
        </w:rPr>
        <w:t>章</w:t>
      </w:r>
      <w:r>
        <w:rPr>
          <w:rFonts w:hint="eastAsia" w:ascii="宋体" w:hAnsi="宋体"/>
          <w:b/>
          <w:color w:val="auto"/>
          <w:sz w:val="24"/>
          <w:highlight w:val="none"/>
        </w:rPr>
        <w:t xml:space="preserve">）：  </w:t>
      </w:r>
    </w:p>
    <w:p>
      <w:pPr>
        <w:wordWrap w:val="0"/>
        <w:spacing w:line="600" w:lineRule="exact"/>
        <w:ind w:firstLine="477" w:firstLineChars="198"/>
        <w:jc w:val="right"/>
        <w:rPr>
          <w:rFonts w:hint="default" w:ascii="宋体" w:hAnsi="宋体" w:eastAsia="仿宋_GB2312"/>
          <w:b/>
          <w:color w:val="auto"/>
          <w:sz w:val="24"/>
          <w:highlight w:val="none"/>
          <w:lang w:val="en-US" w:eastAsia="zh-CN"/>
        </w:rPr>
      </w:pPr>
      <w:r>
        <w:rPr>
          <w:rFonts w:hint="eastAsia" w:ascii="宋体" w:hAnsi="宋体"/>
          <w:b/>
          <w:color w:val="auto"/>
          <w:sz w:val="24"/>
          <w:highlight w:val="none"/>
        </w:rPr>
        <w:t xml:space="preserve">    年    月    日</w:t>
      </w:r>
      <w:r>
        <w:rPr>
          <w:rFonts w:hint="eastAsia" w:ascii="仿宋_GB2312" w:hAnsi="宋体" w:eastAsia="仿宋_GB2312"/>
          <w:color w:val="auto"/>
          <w:sz w:val="32"/>
          <w:szCs w:val="32"/>
          <w:highlight w:val="none"/>
          <w:lang w:val="en-US" w:eastAsia="zh-CN"/>
        </w:rPr>
        <w:t xml:space="preserve">              </w:t>
      </w:r>
    </w:p>
    <w:p>
      <w:pPr>
        <w:pStyle w:val="3"/>
        <w:spacing w:line="320" w:lineRule="exact"/>
        <w:rPr>
          <w:rFonts w:hint="eastAsia" w:ascii="黑体" w:hAnsi="黑体"/>
          <w:b w:val="0"/>
          <w:color w:val="auto"/>
          <w:sz w:val="28"/>
          <w:szCs w:val="28"/>
          <w:highlight w:val="none"/>
        </w:rPr>
      </w:pPr>
      <w:r>
        <w:rPr>
          <w:rFonts w:hint="eastAsia" w:ascii="宋体" w:hAnsi="宋体"/>
          <w:b/>
          <w:color w:val="auto"/>
          <w:sz w:val="24"/>
          <w:highlight w:val="none"/>
        </w:rPr>
        <w:br w:type="page"/>
      </w:r>
      <w:bookmarkEnd w:id="7"/>
      <w:bookmarkEnd w:id="8"/>
      <w:bookmarkEnd w:id="9"/>
      <w:bookmarkEnd w:id="10"/>
      <w:bookmarkStart w:id="12" w:name="_Toc1402"/>
      <w:bookmarkStart w:id="13" w:name="_Toc11096"/>
      <w:r>
        <w:rPr>
          <w:rFonts w:hint="eastAsia" w:ascii="黑体" w:hAnsi="黑体"/>
          <w:b w:val="0"/>
          <w:color w:val="auto"/>
          <w:sz w:val="28"/>
          <w:szCs w:val="28"/>
          <w:highlight w:val="none"/>
        </w:rPr>
        <w:t>附件</w:t>
      </w:r>
      <w:r>
        <w:rPr>
          <w:rFonts w:hint="eastAsia" w:ascii="黑体" w:hAnsi="黑体"/>
          <w:b w:val="0"/>
          <w:color w:val="auto"/>
          <w:sz w:val="28"/>
          <w:szCs w:val="28"/>
          <w:highlight w:val="none"/>
          <w:lang w:val="en-US" w:eastAsia="zh-CN"/>
        </w:rPr>
        <w:t>5</w:t>
      </w:r>
      <w:r>
        <w:rPr>
          <w:rFonts w:hint="eastAsia" w:ascii="黑体" w:hAnsi="黑体"/>
          <w:b w:val="0"/>
          <w:color w:val="auto"/>
          <w:sz w:val="28"/>
          <w:szCs w:val="28"/>
          <w:highlight w:val="none"/>
        </w:rPr>
        <w:t xml:space="preserve">  廉政承诺书</w:t>
      </w:r>
      <w:bookmarkEnd w:id="12"/>
      <w:bookmarkEnd w:id="13"/>
      <w:r>
        <w:rPr>
          <w:rFonts w:hint="eastAsia" w:ascii="黑体" w:hAnsi="黑体"/>
          <w:b w:val="0"/>
          <w:color w:val="auto"/>
          <w:sz w:val="28"/>
          <w:szCs w:val="28"/>
          <w:highlight w:val="none"/>
        </w:rPr>
        <w:t xml:space="preserve">                            </w:t>
      </w:r>
    </w:p>
    <w:p>
      <w:pPr>
        <w:widowControl/>
        <w:spacing w:line="400" w:lineRule="exact"/>
        <w:jc w:val="center"/>
        <w:rPr>
          <w:rFonts w:ascii="楷体_GB2312" w:hAnsi="Times New Roman" w:eastAsia="楷体_GB2312" w:cs="Times New Roman"/>
          <w:b/>
          <w:color w:val="auto"/>
          <w:sz w:val="36"/>
          <w:szCs w:val="36"/>
          <w:highlight w:val="none"/>
          <w:lang w:val="en-US"/>
        </w:rPr>
      </w:pPr>
      <w:r>
        <w:rPr>
          <w:rFonts w:hint="eastAsia" w:ascii="楷体_GB2312" w:hAnsi="Times New Roman" w:eastAsia="楷体_GB2312" w:cs="Times New Roman"/>
          <w:b/>
          <w:color w:val="auto"/>
          <w:sz w:val="36"/>
          <w:szCs w:val="36"/>
          <w:highlight w:val="none"/>
          <w:lang w:val="en-US" w:eastAsia="zh-CN"/>
        </w:rPr>
        <w:t>廉政承诺书</w:t>
      </w:r>
    </w:p>
    <w:p>
      <w:pPr>
        <w:keepNext w:val="0"/>
        <w:keepLines w:val="0"/>
        <w:widowControl w:val="0"/>
        <w:suppressLineNumbers w:val="0"/>
        <w:spacing w:before="0" w:beforeAutospacing="0" w:after="0" w:afterAutospacing="0" w:line="500" w:lineRule="exact"/>
        <w:ind w:left="0" w:right="0"/>
        <w:jc w:val="center"/>
        <w:rPr>
          <w:rFonts w:eastAsia="仿宋_GB2312"/>
          <w:color w:val="auto"/>
          <w:sz w:val="32"/>
          <w:szCs w:val="32"/>
          <w:lang w:val="en-US"/>
        </w:rPr>
      </w:pPr>
    </w:p>
    <w:p>
      <w:pPr>
        <w:keepNext w:val="0"/>
        <w:keepLines w:val="0"/>
        <w:widowControl w:val="0"/>
        <w:suppressLineNumbers w:val="0"/>
        <w:spacing w:before="0" w:beforeAutospacing="0" w:after="0" w:afterAutospacing="0" w:line="560" w:lineRule="exact"/>
        <w:ind w:left="0" w:right="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仿宋_GB2312"/>
          <w:color w:val="auto"/>
          <w:kern w:val="2"/>
          <w:sz w:val="32"/>
          <w:szCs w:val="32"/>
          <w:lang w:val="en-US" w:eastAsia="zh-CN" w:bidi="ar"/>
        </w:rPr>
        <w:t>部门（单位）：</w:t>
      </w:r>
    </w:p>
    <w:p>
      <w:pPr>
        <w:keepNext w:val="0"/>
        <w:keepLines w:val="0"/>
        <w:widowControl w:val="0"/>
        <w:suppressLineNumbers w:val="0"/>
        <w:spacing w:before="0" w:beforeAutospacing="0" w:after="0" w:afterAutospacing="0" w:line="560" w:lineRule="exact"/>
        <w:ind w:left="0" w:right="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eastAsia="仿宋_GB2312" w:cs="仿宋_GB2312"/>
          <w:color w:val="auto"/>
          <w:kern w:val="2"/>
          <w:sz w:val="32"/>
          <w:szCs w:val="32"/>
          <w:lang w:val="en-US" w:eastAsia="zh-CN" w:bidi="ar"/>
        </w:rPr>
        <w:t>根据《财政部关于进一步加强财政部门和预算单位资金存放管理的指导意见》（财库〔</w:t>
      </w:r>
      <w:r>
        <w:rPr>
          <w:rFonts w:hint="default" w:ascii="Times New Roman" w:hAnsi="Times New Roman" w:eastAsia="仿宋_GB2312" w:cs="Times New Roman"/>
          <w:color w:val="auto"/>
          <w:kern w:val="2"/>
          <w:sz w:val="32"/>
          <w:szCs w:val="32"/>
          <w:lang w:val="en-US" w:eastAsia="zh-CN" w:bidi="ar"/>
        </w:rPr>
        <w:t>2017</w:t>
      </w:r>
      <w:r>
        <w:rPr>
          <w:rFonts w:hint="eastAsia" w:ascii="Times New Roman"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76</w:t>
      </w:r>
      <w:r>
        <w:rPr>
          <w:rFonts w:hint="eastAsia" w:ascii="Times New Roman" w:hAnsi="Times New Roman" w:eastAsia="仿宋_GB2312" w:cs="仿宋_GB2312"/>
          <w:color w:val="auto"/>
          <w:kern w:val="2"/>
          <w:sz w:val="32"/>
          <w:szCs w:val="32"/>
          <w:lang w:val="en-US" w:eastAsia="zh-CN" w:bidi="ar"/>
        </w:rPr>
        <w:t>号）、《</w:t>
      </w:r>
      <w:r>
        <w:rPr>
          <w:rFonts w:hint="eastAsia" w:ascii="仿宋_GB2312" w:hAnsi="仿宋_GB2312" w:eastAsia="仿宋_GB2312" w:cs="仿宋_GB2312"/>
          <w:color w:val="auto"/>
          <w:kern w:val="2"/>
          <w:sz w:val="32"/>
          <w:szCs w:val="32"/>
          <w:lang w:val="en-US" w:eastAsia="zh-CN" w:bidi="ar"/>
        </w:rPr>
        <w:t>海宁市市级行政事业单位公款竞争性存放管理办法</w:t>
      </w:r>
      <w:r>
        <w:rPr>
          <w:rFonts w:hint="eastAsia" w:ascii="Times New Roman" w:hAnsi="Times New Roman" w:eastAsia="仿宋_GB2312" w:cs="仿宋_GB2312"/>
          <w:color w:val="auto"/>
          <w:kern w:val="2"/>
          <w:sz w:val="32"/>
          <w:szCs w:val="32"/>
          <w:lang w:val="en-US" w:eastAsia="zh-CN" w:bidi="ar"/>
        </w:rPr>
        <w:t>》（海财政〔</w:t>
      </w:r>
      <w:r>
        <w:rPr>
          <w:rFonts w:hint="default" w:ascii="Times New Roman" w:hAnsi="Times New Roman" w:eastAsia="仿宋_GB2312" w:cs="仿宋_GB2312"/>
          <w:color w:val="auto"/>
          <w:kern w:val="2"/>
          <w:sz w:val="32"/>
          <w:szCs w:val="32"/>
          <w:lang w:val="en-US" w:eastAsia="zh-CN" w:bidi="ar"/>
        </w:rPr>
        <w:t>2024</w:t>
      </w:r>
      <w:r>
        <w:rPr>
          <w:rFonts w:hint="eastAsia" w:ascii="Times New Roman" w:hAnsi="Times New Roman" w:eastAsia="仿宋_GB2312" w:cs="仿宋_GB2312"/>
          <w:color w:val="auto"/>
          <w:kern w:val="2"/>
          <w:sz w:val="32"/>
          <w:szCs w:val="32"/>
          <w:lang w:val="en-US" w:eastAsia="zh-CN" w:bidi="ar"/>
        </w:rPr>
        <w:t>〕</w:t>
      </w:r>
      <w:r>
        <w:rPr>
          <w:rFonts w:hint="default" w:ascii="Times New Roman" w:hAnsi="Times New Roman" w:eastAsia="仿宋_GB2312" w:cs="仿宋_GB2312"/>
          <w:color w:val="auto"/>
          <w:kern w:val="2"/>
          <w:sz w:val="32"/>
          <w:szCs w:val="32"/>
          <w:lang w:val="en-US" w:eastAsia="zh-CN" w:bidi="ar"/>
        </w:rPr>
        <w:t>36</w:t>
      </w:r>
      <w:r>
        <w:rPr>
          <w:rFonts w:hint="eastAsia" w:ascii="Times New Roman" w:hAnsi="Times New Roman" w:eastAsia="仿宋_GB2312" w:cs="仿宋_GB2312"/>
          <w:color w:val="auto"/>
          <w:kern w:val="2"/>
          <w:sz w:val="32"/>
          <w:szCs w:val="32"/>
          <w:lang w:val="en-US" w:eastAsia="zh-CN" w:bidi="ar"/>
        </w:rPr>
        <w:t>号）相关规定，现就本行参加贵单位</w:t>
      </w:r>
      <w:r>
        <w:rPr>
          <w:rFonts w:hint="default" w:ascii="Times New Roman" w:hAnsi="Times New Roman" w:eastAsia="仿宋_GB2312" w:cs="Times New Roman"/>
          <w:color w:val="auto"/>
          <w:kern w:val="2"/>
          <w:sz w:val="32"/>
          <w:szCs w:val="32"/>
          <w:u w:val="none"/>
          <w:lang w:val="en-US" w:eastAsia="zh-CN" w:bidi="ar"/>
        </w:rPr>
        <w:t>海宁市住房和城乡建设局</w:t>
      </w:r>
      <w:r>
        <w:rPr>
          <w:rFonts w:hint="eastAsia" w:ascii="Times New Roman" w:hAnsi="Times New Roman" w:eastAsia="仿宋_GB2312" w:cs="Times New Roman"/>
          <w:color w:val="auto"/>
          <w:kern w:val="2"/>
          <w:sz w:val="32"/>
          <w:szCs w:val="32"/>
          <w:u w:val="none"/>
          <w:lang w:val="en-US" w:eastAsia="zh-CN" w:bidi="ar"/>
        </w:rPr>
        <w:t>2026年第一期</w:t>
      </w:r>
      <w:r>
        <w:rPr>
          <w:rFonts w:hint="default" w:ascii="Times New Roman" w:hAnsi="Times New Roman" w:eastAsia="仿宋_GB2312" w:cs="Times New Roman"/>
          <w:color w:val="auto"/>
          <w:kern w:val="2"/>
          <w:sz w:val="32"/>
          <w:szCs w:val="32"/>
          <w:u w:val="none"/>
          <w:lang w:val="en-US" w:eastAsia="zh-CN" w:bidi="ar"/>
        </w:rPr>
        <w:t>“两金”资金竞争性存放项目</w:t>
      </w:r>
      <w:r>
        <w:rPr>
          <w:rFonts w:hint="eastAsia" w:ascii="Times New Roman" w:hAnsi="Times New Roman" w:eastAsia="仿宋_GB2312" w:cs="仿宋_GB2312"/>
          <w:color w:val="auto"/>
          <w:kern w:val="2"/>
          <w:sz w:val="32"/>
          <w:szCs w:val="32"/>
          <w:lang w:val="en-US" w:eastAsia="zh-CN" w:bidi="ar"/>
        </w:rPr>
        <w:t>作出如下承诺：</w:t>
      </w:r>
    </w:p>
    <w:p>
      <w:pPr>
        <w:keepNext w:val="0"/>
        <w:keepLines w:val="0"/>
        <w:widowControl w:val="0"/>
        <w:suppressLineNumbers w:val="0"/>
        <w:spacing w:before="0" w:beforeAutospacing="0" w:after="0" w:afterAutospacing="0" w:line="560" w:lineRule="exact"/>
        <w:ind w:left="0" w:right="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    1.</w:t>
      </w:r>
      <w:r>
        <w:rPr>
          <w:rFonts w:hint="eastAsia" w:ascii="Times New Roman" w:hAnsi="Times New Roman" w:eastAsia="仿宋_GB2312" w:cs="仿宋_GB2312"/>
          <w:color w:val="auto"/>
          <w:kern w:val="2"/>
          <w:sz w:val="32"/>
          <w:szCs w:val="32"/>
          <w:lang w:val="en-US" w:eastAsia="zh-CN" w:bidi="ar"/>
        </w:rPr>
        <w:t>不向贵单位负责公款存放管理的领导及相关人员进行利益输送；</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eastAsia" w:ascii="Times New Roman" w:hAnsi="Times New Roman" w:eastAsia="仿宋_GB2312" w:cs="仿宋_GB2312"/>
          <w:color w:val="auto"/>
          <w:kern w:val="2"/>
          <w:sz w:val="32"/>
          <w:szCs w:val="32"/>
          <w:lang w:val="en-US" w:eastAsia="zh-CN" w:bidi="ar"/>
        </w:rPr>
        <w:t>不将公款存放与贵单位负责公款存放管理的领导及相关人员在本行的配偶、子女及其配偶和其他直接利益相关人员的业绩、收入、晋升等利益挂钩；</w:t>
      </w:r>
    </w:p>
    <w:p>
      <w:pPr>
        <w:keepNext w:val="0"/>
        <w:keepLines w:val="0"/>
        <w:widowControl w:val="0"/>
        <w:suppressLineNumbers w:val="0"/>
        <w:spacing w:before="0" w:beforeAutospacing="0" w:after="0" w:afterAutospacing="0" w:line="560" w:lineRule="exact"/>
        <w:ind w:left="0" w:right="0" w:firstLine="640" w:firstLineChars="20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3.</w:t>
      </w:r>
      <w:r>
        <w:rPr>
          <w:rFonts w:hint="eastAsia" w:ascii="Times New Roman" w:hAnsi="Times New Roman" w:eastAsia="仿宋_GB2312" w:cs="仿宋_GB2312"/>
          <w:color w:val="auto"/>
          <w:kern w:val="2"/>
          <w:sz w:val="32"/>
          <w:szCs w:val="32"/>
          <w:lang w:val="en-US" w:eastAsia="zh-CN" w:bidi="ar"/>
        </w:rPr>
        <w:t>严格执行利益回避制度，贵单位负责公款竞争性存放相关人员的配偶、子女及其配偶和其他直接利益相关人员为本行工作人员的，不参与公款竞争性存放工作；</w:t>
      </w:r>
    </w:p>
    <w:p>
      <w:pPr>
        <w:keepNext w:val="0"/>
        <w:keepLines w:val="0"/>
        <w:widowControl w:val="0"/>
        <w:suppressLineNumbers w:val="0"/>
        <w:spacing w:before="0" w:beforeAutospacing="0" w:after="0" w:afterAutospacing="0" w:line="560" w:lineRule="exact"/>
        <w:ind w:left="0" w:right="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    4.</w:t>
      </w:r>
      <w:r>
        <w:rPr>
          <w:rFonts w:hint="eastAsia" w:ascii="Times New Roman" w:hAnsi="Times New Roman" w:eastAsia="仿宋_GB2312" w:cs="仿宋_GB2312"/>
          <w:color w:val="auto"/>
          <w:kern w:val="2"/>
          <w:sz w:val="32"/>
          <w:szCs w:val="32"/>
          <w:lang w:val="en-US" w:eastAsia="zh-CN" w:bidi="ar"/>
        </w:rPr>
        <w:t>不发生除上述行为之外的其他任何利益输送行为。</w:t>
      </w:r>
    </w:p>
    <w:p>
      <w:pPr>
        <w:keepNext w:val="0"/>
        <w:keepLines w:val="0"/>
        <w:widowControl w:val="0"/>
        <w:suppressLineNumbers w:val="0"/>
        <w:spacing w:before="0" w:beforeAutospacing="0" w:after="0" w:afterAutospacing="0" w:line="560" w:lineRule="exact"/>
        <w:ind w:left="0" w:right="0" w:firstLine="623"/>
        <w:jc w:val="both"/>
        <w:rPr>
          <w:rFonts w:eastAsia="仿宋_GB2312"/>
          <w:color w:val="auto"/>
          <w:sz w:val="32"/>
          <w:szCs w:val="32"/>
          <w:lang w:val="en-US"/>
        </w:rPr>
      </w:pPr>
      <w:r>
        <w:rPr>
          <w:rFonts w:hint="eastAsia" w:ascii="Times New Roman" w:hAnsi="Times New Roman" w:eastAsia="仿宋_GB2312" w:cs="仿宋_GB2312"/>
          <w:color w:val="auto"/>
          <w:kern w:val="2"/>
          <w:sz w:val="32"/>
          <w:szCs w:val="32"/>
          <w:lang w:val="en-US" w:eastAsia="zh-CN" w:bidi="ar"/>
        </w:rPr>
        <w:t>未遵守以上承诺的，本行自愿接受财政部门通报和处理，承担相应的一切后果。</w:t>
      </w:r>
    </w:p>
    <w:p>
      <w:pPr>
        <w:keepNext w:val="0"/>
        <w:keepLines w:val="0"/>
        <w:widowControl w:val="0"/>
        <w:suppressLineNumbers w:val="0"/>
        <w:spacing w:before="0" w:beforeAutospacing="0" w:after="0" w:afterAutospacing="0" w:line="560" w:lineRule="exact"/>
        <w:ind w:left="0" w:right="0"/>
        <w:jc w:val="both"/>
        <w:rPr>
          <w:rFonts w:eastAsia="仿宋_GB2312"/>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                              </w:t>
      </w:r>
      <w:bookmarkStart w:id="14" w:name="_GoBack"/>
      <w:bookmarkEnd w:id="14"/>
      <w:r>
        <w:rPr>
          <w:rFonts w:hint="default" w:ascii="Times New Roman" w:hAnsi="Times New Roman"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仿宋_GB2312"/>
          <w:color w:val="auto"/>
          <w:kern w:val="2"/>
          <w:sz w:val="32"/>
          <w:szCs w:val="32"/>
          <w:lang w:val="en-US" w:eastAsia="zh-CN" w:bidi="ar"/>
        </w:rPr>
        <w:t>银行（公章）</w:t>
      </w:r>
    </w:p>
    <w:p>
      <w:pPr>
        <w:keepNext w:val="0"/>
        <w:keepLines w:val="0"/>
        <w:widowControl w:val="0"/>
        <w:suppressLineNumbers w:val="0"/>
        <w:spacing w:before="0" w:beforeAutospacing="0" w:after="0" w:afterAutospacing="0" w:line="560" w:lineRule="exact"/>
        <w:ind w:left="0" w:right="0"/>
        <w:jc w:val="both"/>
        <w:rPr>
          <w:rFonts w:eastAsia="仿宋_GB2319"/>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                                 </w:t>
      </w:r>
      <w:r>
        <w:rPr>
          <w:rFonts w:hint="default" w:ascii="Times New Roman" w:hAnsi="Times New Roman" w:eastAsia="宋体"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仿宋_GB2312"/>
          <w:color w:val="auto"/>
          <w:kern w:val="2"/>
          <w:sz w:val="32"/>
          <w:szCs w:val="32"/>
          <w:lang w:val="en-US" w:eastAsia="zh-CN" w:bidi="ar"/>
        </w:rPr>
        <w:t>年</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仿宋_GB2312"/>
          <w:color w:val="auto"/>
          <w:kern w:val="2"/>
          <w:sz w:val="32"/>
          <w:szCs w:val="32"/>
          <w:lang w:val="en-US" w:eastAsia="zh-CN" w:bidi="ar"/>
        </w:rPr>
        <w:t>月</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仿宋_GB2312"/>
          <w:color w:val="auto"/>
          <w:kern w:val="2"/>
          <w:sz w:val="32"/>
          <w:szCs w:val="32"/>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00"/>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9">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5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2026-01-28T02:49:08Z</dcterms:created>
  <dc:creator>Administrator</dc:creator>
  <cp:lastModifiedBy>Administrator</cp:lastModifiedBy>
  <dcterms:modified xsi:type="dcterms:W3CDTF">2026-01-28T02:49:53Z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