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Arial"/>
          <w:b/>
          <w:bCs/>
          <w:color w:val="000000" w:themeColor="text1"/>
          <w:sz w:val="72"/>
          <w:szCs w:val="72"/>
        </w:rPr>
      </w:pPr>
    </w:p>
    <w:p>
      <w:pPr>
        <w:jc w:val="center"/>
        <w:rPr>
          <w:rFonts w:ascii="宋体" w:hAnsi="宋体" w:cs="Arial"/>
          <w:b/>
          <w:bCs/>
          <w:color w:val="000000" w:themeColor="text1"/>
          <w:sz w:val="72"/>
          <w:szCs w:val="72"/>
        </w:rPr>
      </w:pPr>
    </w:p>
    <w:p>
      <w:pPr>
        <w:jc w:val="center"/>
        <w:rPr>
          <w:rFonts w:ascii="宋体" w:hAnsi="宋体" w:cs="Arial"/>
          <w:b/>
          <w:bCs/>
          <w:color w:val="000000" w:themeColor="text1"/>
          <w:sz w:val="72"/>
          <w:szCs w:val="72"/>
        </w:rPr>
      </w:pPr>
      <w:r>
        <w:rPr>
          <w:rFonts w:hint="eastAsia" w:ascii="宋体" w:hAnsi="宋体" w:cs="Arial"/>
          <w:b/>
          <w:bCs/>
          <w:color w:val="000000" w:themeColor="text1"/>
          <w:sz w:val="72"/>
          <w:szCs w:val="72"/>
        </w:rPr>
        <w:t>公开招标</w:t>
      </w:r>
      <w:r>
        <w:rPr>
          <w:rFonts w:ascii="宋体" w:hAnsi="宋体" w:cs="Arial"/>
          <w:b/>
          <w:bCs/>
          <w:color w:val="000000" w:themeColor="text1"/>
          <w:sz w:val="72"/>
          <w:szCs w:val="72"/>
        </w:rPr>
        <w:t>文件</w:t>
      </w:r>
    </w:p>
    <w:p>
      <w:pPr>
        <w:spacing w:beforeLines="50"/>
        <w:jc w:val="center"/>
        <w:rPr>
          <w:rFonts w:ascii="宋体" w:hAnsi="宋体" w:cs="Arial"/>
          <w:b/>
          <w:bCs/>
          <w:color w:val="000000" w:themeColor="text1"/>
          <w:sz w:val="36"/>
          <w:szCs w:val="36"/>
        </w:rPr>
      </w:pPr>
    </w:p>
    <w:p>
      <w:pPr>
        <w:widowControl/>
        <w:spacing w:line="780" w:lineRule="exact"/>
        <w:ind w:right="62"/>
        <w:jc w:val="left"/>
        <w:rPr>
          <w:rFonts w:ascii="宋体" w:hAnsi="宋体" w:cs="Arial"/>
          <w:b/>
          <w:bCs/>
          <w:color w:val="000000" w:themeColor="text1"/>
          <w:sz w:val="100"/>
        </w:rPr>
      </w:pPr>
    </w:p>
    <w:p>
      <w:pPr>
        <w:widowControl/>
        <w:spacing w:line="780" w:lineRule="exact"/>
        <w:ind w:right="62"/>
        <w:jc w:val="left"/>
        <w:rPr>
          <w:rFonts w:ascii="宋体" w:hAnsi="宋体" w:cs="Arial"/>
          <w:b/>
          <w:bCs/>
          <w:color w:val="000000" w:themeColor="text1"/>
          <w:sz w:val="100"/>
        </w:rPr>
      </w:pPr>
    </w:p>
    <w:p>
      <w:pPr>
        <w:widowControl/>
        <w:spacing w:line="780" w:lineRule="exact"/>
        <w:ind w:right="62"/>
        <w:jc w:val="left"/>
        <w:rPr>
          <w:rFonts w:ascii="宋体" w:hAnsi="宋体" w:cs="Arial"/>
          <w:b/>
          <w:bCs/>
          <w:color w:val="000000" w:themeColor="text1"/>
          <w:sz w:val="100"/>
        </w:rPr>
      </w:pPr>
    </w:p>
    <w:p>
      <w:pPr>
        <w:widowControl/>
        <w:spacing w:line="780" w:lineRule="exact"/>
        <w:ind w:left="1988" w:right="276" w:hanging="1988" w:hangingChars="550"/>
        <w:jc w:val="left"/>
        <w:rPr>
          <w:rFonts w:hint="eastAsia" w:ascii="宋体" w:hAnsi="宋体" w:eastAsia="宋体"/>
          <w:b/>
          <w:color w:val="000000" w:themeColor="text1"/>
          <w:sz w:val="36"/>
          <w:szCs w:val="36"/>
          <w:u w:val="single"/>
          <w:lang w:eastAsia="zh-CN"/>
        </w:rPr>
      </w:pPr>
      <w:r>
        <w:rPr>
          <w:rFonts w:ascii="宋体" w:hAnsi="宋体"/>
          <w:b/>
          <w:bCs/>
          <w:color w:val="000000" w:themeColor="text1"/>
          <w:sz w:val="36"/>
          <w:szCs w:val="36"/>
        </w:rPr>
        <w:t>招标项目：</w:t>
      </w:r>
      <w:r>
        <w:rPr>
          <w:rFonts w:hint="eastAsia" w:ascii="宋体" w:hAnsi="宋体"/>
          <w:b/>
          <w:bCs/>
          <w:color w:val="000000" w:themeColor="text1"/>
          <w:sz w:val="36"/>
          <w:szCs w:val="36"/>
          <w:u w:val="single"/>
          <w:lang w:eastAsia="zh-CN"/>
        </w:rPr>
        <w:t>建德市规划和自然资源局土地出让交易保证金账户开户银行项目</w:t>
      </w:r>
    </w:p>
    <w:p>
      <w:pPr>
        <w:widowControl/>
        <w:spacing w:line="780" w:lineRule="exact"/>
        <w:ind w:right="62"/>
        <w:jc w:val="left"/>
        <w:rPr>
          <w:rFonts w:hint="eastAsia" w:ascii="宋体" w:hAnsi="宋体" w:eastAsia="宋体"/>
          <w:b/>
          <w:color w:val="000000" w:themeColor="text1"/>
          <w:sz w:val="36"/>
          <w:szCs w:val="36"/>
          <w:u w:val="single"/>
          <w:lang w:val="en-US" w:eastAsia="zh-CN"/>
        </w:rPr>
      </w:pPr>
      <w:r>
        <w:rPr>
          <w:rFonts w:hint="eastAsia" w:ascii="宋体" w:hAnsi="宋体"/>
          <w:b/>
          <w:bCs/>
          <w:color w:val="000000" w:themeColor="text1"/>
          <w:sz w:val="36"/>
          <w:szCs w:val="36"/>
          <w:lang w:eastAsia="zh-CN"/>
        </w:rPr>
        <w:t>项目编号： HZHS2026-004</w:t>
      </w:r>
    </w:p>
    <w:p>
      <w:pPr>
        <w:widowControl/>
        <w:spacing w:line="780" w:lineRule="exact"/>
        <w:ind w:right="62"/>
        <w:jc w:val="left"/>
        <w:rPr>
          <w:rFonts w:hint="eastAsia" w:ascii="宋体" w:hAnsi="宋体" w:cs="Times New Roman"/>
          <w:b/>
          <w:bCs/>
          <w:color w:val="000000" w:themeColor="text1"/>
          <w:sz w:val="36"/>
          <w:szCs w:val="36"/>
          <w:u w:val="single"/>
          <w:lang w:eastAsia="zh-CN"/>
        </w:rPr>
      </w:pPr>
      <w:r>
        <w:rPr>
          <w:rFonts w:ascii="宋体" w:hAnsi="宋体"/>
          <w:b/>
          <w:bCs/>
          <w:color w:val="000000" w:themeColor="text1"/>
          <w:sz w:val="36"/>
          <w:szCs w:val="36"/>
        </w:rPr>
        <w:t>招标单位：</w:t>
      </w:r>
      <w:r>
        <w:rPr>
          <w:rFonts w:hint="eastAsia" w:ascii="宋体" w:hAnsi="宋体" w:cs="Times New Roman"/>
          <w:b/>
          <w:bCs/>
          <w:color w:val="000000" w:themeColor="text1"/>
          <w:sz w:val="36"/>
          <w:szCs w:val="36"/>
          <w:u w:val="single"/>
          <w:lang w:eastAsia="zh-CN"/>
        </w:rPr>
        <w:t xml:space="preserve">建德市规划和自然资源局 </w:t>
      </w:r>
    </w:p>
    <w:p>
      <w:pPr>
        <w:ind w:left="60" w:firstLine="640" w:firstLineChars="145"/>
        <w:rPr>
          <w:rFonts w:ascii="宋体" w:hAnsi="宋体" w:cs="Arial"/>
          <w:b/>
          <w:bCs/>
          <w:color w:val="000000" w:themeColor="text1"/>
          <w:sz w:val="44"/>
        </w:rPr>
      </w:pPr>
    </w:p>
    <w:p>
      <w:pPr>
        <w:rPr>
          <w:rFonts w:ascii="宋体" w:hAnsi="宋体" w:cs="Arial"/>
          <w:b/>
          <w:bCs/>
          <w:color w:val="000000" w:themeColor="text1"/>
          <w:sz w:val="44"/>
          <w:u w:val="single"/>
        </w:rPr>
      </w:pPr>
    </w:p>
    <w:p>
      <w:pPr>
        <w:jc w:val="center"/>
        <w:rPr>
          <w:rFonts w:ascii="宋体" w:hAnsi="宋体" w:cs="Arial"/>
          <w:b/>
          <w:bCs/>
          <w:color w:val="000000" w:themeColor="text1"/>
          <w:sz w:val="44"/>
          <w:u w:val="single"/>
        </w:rPr>
      </w:pPr>
    </w:p>
    <w:p>
      <w:pPr>
        <w:jc w:val="center"/>
        <w:rPr>
          <w:rFonts w:ascii="宋体" w:hAnsi="宋体" w:cs="Arial"/>
          <w:b/>
          <w:bCs/>
          <w:color w:val="000000" w:themeColor="text1"/>
          <w:sz w:val="44"/>
          <w:u w:val="single"/>
        </w:rPr>
      </w:pPr>
    </w:p>
    <w:p>
      <w:pPr>
        <w:jc w:val="center"/>
        <w:rPr>
          <w:rFonts w:ascii="宋体" w:hAnsi="宋体" w:cs="Arial"/>
          <w:b/>
          <w:bCs/>
          <w:color w:val="000000" w:themeColor="text1"/>
          <w:sz w:val="44"/>
          <w:u w:val="single"/>
        </w:rPr>
      </w:pPr>
    </w:p>
    <w:p>
      <w:pPr>
        <w:jc w:val="center"/>
        <w:rPr>
          <w:rFonts w:ascii="宋体" w:hAnsi="宋体" w:cs="Arial"/>
          <w:b/>
          <w:bCs/>
          <w:color w:val="000000" w:themeColor="text1"/>
          <w:sz w:val="36"/>
          <w:szCs w:val="36"/>
        </w:rPr>
      </w:pPr>
      <w:r>
        <w:rPr>
          <w:rFonts w:hint="eastAsia" w:ascii="宋体" w:hAnsi="宋体" w:cs="Arial"/>
          <w:b/>
          <w:bCs/>
          <w:color w:val="000000" w:themeColor="text1"/>
          <w:sz w:val="36"/>
          <w:szCs w:val="36"/>
          <w:lang w:val="en-US" w:eastAsia="zh-CN"/>
        </w:rPr>
        <w:t>杭州海盛工程造价咨询有限公司</w:t>
      </w:r>
    </w:p>
    <w:p>
      <w:pPr>
        <w:jc w:val="center"/>
        <w:rPr>
          <w:rFonts w:ascii="宋体" w:hAnsi="宋体" w:cs="Arial"/>
          <w:b/>
          <w:bCs/>
          <w:color w:val="000000" w:themeColor="text1"/>
          <w:sz w:val="36"/>
          <w:szCs w:val="36"/>
        </w:rPr>
      </w:pPr>
      <w:r>
        <w:rPr>
          <w:rFonts w:hint="eastAsia" w:ascii="宋体" w:hAnsi="宋体" w:cs="Arial"/>
          <w:b/>
          <w:bCs/>
          <w:color w:val="000000" w:themeColor="text1"/>
          <w:sz w:val="36"/>
          <w:szCs w:val="36"/>
        </w:rPr>
        <w:t>二〇二</w:t>
      </w:r>
      <w:r>
        <w:rPr>
          <w:rFonts w:hint="eastAsia" w:ascii="宋体" w:hAnsi="宋体" w:cs="Arial"/>
          <w:b/>
          <w:bCs/>
          <w:color w:val="000000" w:themeColor="text1"/>
          <w:sz w:val="36"/>
          <w:szCs w:val="36"/>
          <w:lang w:val="en-US" w:eastAsia="zh-CN"/>
        </w:rPr>
        <w:t>六</w:t>
      </w:r>
      <w:r>
        <w:rPr>
          <w:rFonts w:hint="eastAsia" w:ascii="宋体" w:hAnsi="宋体" w:cs="Arial"/>
          <w:b/>
          <w:bCs/>
          <w:color w:val="000000" w:themeColor="text1"/>
          <w:sz w:val="36"/>
          <w:szCs w:val="36"/>
        </w:rPr>
        <w:t>年</w:t>
      </w:r>
      <w:r>
        <w:rPr>
          <w:rFonts w:hint="eastAsia" w:ascii="宋体" w:hAnsi="宋体" w:cs="Arial"/>
          <w:b/>
          <w:bCs/>
          <w:color w:val="000000" w:themeColor="text1"/>
          <w:sz w:val="36"/>
          <w:szCs w:val="36"/>
          <w:lang w:val="en-US" w:eastAsia="zh-CN"/>
        </w:rPr>
        <w:t>六</w:t>
      </w:r>
      <w:r>
        <w:rPr>
          <w:rFonts w:hint="eastAsia" w:ascii="宋体" w:hAnsi="宋体" w:cs="Arial"/>
          <w:b/>
          <w:bCs/>
          <w:color w:val="000000" w:themeColor="text1"/>
          <w:sz w:val="36"/>
          <w:szCs w:val="36"/>
        </w:rPr>
        <w:t>月</w:t>
      </w:r>
    </w:p>
    <w:p>
      <w:pPr>
        <w:jc w:val="center"/>
        <w:rPr>
          <w:rFonts w:ascii="宋体" w:hAnsi="宋体" w:cs="Arial"/>
          <w:b/>
          <w:bCs/>
          <w:color w:val="000000" w:themeColor="text1"/>
          <w:sz w:val="36"/>
          <w:szCs w:val="36"/>
        </w:rPr>
        <w:sectPr>
          <w:footerReference r:id="rId5" w:type="first"/>
          <w:headerReference r:id="rId3" w:type="default"/>
          <w:footerReference r:id="rId4" w:type="even"/>
          <w:pgSz w:w="11906" w:h="16838"/>
          <w:pgMar w:top="1440" w:right="1469" w:bottom="1440" w:left="1797" w:header="851" w:footer="992" w:gutter="0"/>
          <w:cols w:space="720" w:num="1"/>
          <w:docGrid w:linePitch="312" w:charSpace="0"/>
        </w:sectPr>
      </w:pPr>
    </w:p>
    <w:p>
      <w:pPr>
        <w:jc w:val="center"/>
        <w:rPr>
          <w:rFonts w:ascii="宋体" w:hAnsi="宋体"/>
          <w:color w:val="000000" w:themeColor="text1"/>
        </w:rPr>
      </w:pPr>
    </w:p>
    <w:p>
      <w:pPr>
        <w:pStyle w:val="18"/>
        <w:spacing w:beforeLines="0" w:afterLines="0" w:line="240" w:lineRule="auto"/>
        <w:jc w:val="center"/>
        <w:rPr>
          <w:rFonts w:hAnsi="宋体"/>
          <w:b/>
          <w:color w:val="000000" w:themeColor="text1"/>
          <w:sz w:val="44"/>
          <w:szCs w:val="44"/>
        </w:rPr>
      </w:pPr>
      <w:r>
        <w:rPr>
          <w:rFonts w:hint="eastAsia" w:hAnsi="宋体"/>
          <w:b/>
          <w:color w:val="000000" w:themeColor="text1"/>
          <w:sz w:val="44"/>
          <w:szCs w:val="44"/>
        </w:rPr>
        <w:t>目    录</w:t>
      </w:r>
    </w:p>
    <w:p>
      <w:pPr>
        <w:pStyle w:val="18"/>
        <w:spacing w:beforeLines="0" w:afterLines="0" w:line="240" w:lineRule="auto"/>
        <w:jc w:val="center"/>
        <w:rPr>
          <w:rFonts w:hAnsi="宋体"/>
          <w:color w:val="000000" w:themeColor="text1"/>
          <w:sz w:val="44"/>
          <w:szCs w:val="44"/>
        </w:rPr>
      </w:pPr>
    </w:p>
    <w:p>
      <w:pPr>
        <w:pStyle w:val="24"/>
        <w:rPr>
          <w:rFonts w:ascii="宋体" w:hAnsi="宋体"/>
          <w:b/>
          <w:color w:val="000000" w:themeColor="text1"/>
          <w:sz w:val="28"/>
          <w:szCs w:val="28"/>
        </w:rPr>
      </w:pPr>
      <w:r>
        <w:rPr>
          <w:rFonts w:ascii="宋体" w:hAnsi="宋体" w:cs="Arial"/>
          <w:b/>
          <w:i/>
          <w:iCs/>
          <w:color w:val="000000" w:themeColor="text1"/>
          <w:sz w:val="28"/>
          <w:szCs w:val="28"/>
        </w:rPr>
        <w:fldChar w:fldCharType="begin"/>
      </w:r>
      <w:r>
        <w:rPr>
          <w:rFonts w:ascii="宋体" w:hAnsi="宋体" w:cs="Arial"/>
          <w:b/>
          <w:i/>
          <w:iCs/>
          <w:color w:val="000000" w:themeColor="text1"/>
          <w:sz w:val="28"/>
          <w:szCs w:val="28"/>
        </w:rPr>
        <w:instrText xml:space="preserve"> TOC \o "1-3" \h \z \u </w:instrText>
      </w:r>
      <w:r>
        <w:rPr>
          <w:rFonts w:ascii="宋体" w:hAnsi="宋体" w:cs="Arial"/>
          <w:b/>
          <w:i/>
          <w:iCs/>
          <w:color w:val="000000" w:themeColor="text1"/>
          <w:sz w:val="28"/>
          <w:szCs w:val="28"/>
        </w:rPr>
        <w:fldChar w:fldCharType="separate"/>
      </w:r>
      <w:r>
        <w:fldChar w:fldCharType="begin"/>
      </w:r>
      <w:r>
        <w:instrText xml:space="preserve"> HYPERLINK \l "_Toc454551063" </w:instrText>
      </w:r>
      <w:r>
        <w:fldChar w:fldCharType="separate"/>
      </w:r>
      <w:r>
        <w:rPr>
          <w:rStyle w:val="35"/>
          <w:rFonts w:hint="eastAsia" w:ascii="宋体" w:hAnsi="宋体"/>
          <w:b/>
          <w:color w:val="000000" w:themeColor="text1"/>
          <w:sz w:val="28"/>
          <w:szCs w:val="28"/>
        </w:rPr>
        <w:t>第一章 招标公告</w:t>
      </w:r>
      <w:r>
        <w:rPr>
          <w:rFonts w:ascii="宋体" w:hAnsi="宋体"/>
          <w:b/>
          <w:color w:val="000000" w:themeColor="text1"/>
          <w:sz w:val="28"/>
          <w:szCs w:val="28"/>
        </w:rPr>
        <w:tab/>
      </w:r>
      <w:r>
        <w:rPr>
          <w:rFonts w:ascii="宋体" w:hAnsi="宋体"/>
          <w:b/>
          <w:color w:val="000000" w:themeColor="text1"/>
          <w:sz w:val="28"/>
          <w:szCs w:val="28"/>
        </w:rPr>
        <w:fldChar w:fldCharType="begin"/>
      </w:r>
      <w:r>
        <w:rPr>
          <w:rFonts w:ascii="宋体" w:hAnsi="宋体"/>
          <w:b/>
          <w:color w:val="000000" w:themeColor="text1"/>
          <w:sz w:val="28"/>
          <w:szCs w:val="28"/>
        </w:rPr>
        <w:instrText xml:space="preserve"> PAGEREF _Toc454551063 \h </w:instrText>
      </w:r>
      <w:r>
        <w:rPr>
          <w:rFonts w:ascii="宋体" w:hAnsi="宋体"/>
          <w:b/>
          <w:color w:val="000000" w:themeColor="text1"/>
          <w:sz w:val="28"/>
          <w:szCs w:val="28"/>
        </w:rPr>
        <w:fldChar w:fldCharType="separate"/>
      </w:r>
      <w:r>
        <w:rPr>
          <w:rFonts w:ascii="宋体" w:hAnsi="宋体"/>
          <w:b/>
          <w:color w:val="000000" w:themeColor="text1"/>
          <w:sz w:val="28"/>
          <w:szCs w:val="28"/>
        </w:rPr>
        <w:t>1</w:t>
      </w:r>
      <w:r>
        <w:rPr>
          <w:rFonts w:ascii="宋体" w:hAnsi="宋体"/>
          <w:b/>
          <w:color w:val="000000" w:themeColor="text1"/>
          <w:sz w:val="28"/>
          <w:szCs w:val="28"/>
        </w:rPr>
        <w:fldChar w:fldCharType="end"/>
      </w:r>
      <w:r>
        <w:rPr>
          <w:rFonts w:ascii="宋体" w:hAnsi="宋体"/>
          <w:b/>
          <w:color w:val="000000" w:themeColor="text1"/>
          <w:sz w:val="28"/>
          <w:szCs w:val="28"/>
        </w:rPr>
        <w:fldChar w:fldCharType="end"/>
      </w:r>
    </w:p>
    <w:p>
      <w:pPr>
        <w:pStyle w:val="24"/>
        <w:rPr>
          <w:rFonts w:ascii="宋体" w:hAnsi="宋体"/>
          <w:b/>
          <w:color w:val="000000" w:themeColor="text1"/>
          <w:sz w:val="28"/>
          <w:szCs w:val="28"/>
        </w:rPr>
      </w:pPr>
      <w:r>
        <w:fldChar w:fldCharType="begin"/>
      </w:r>
      <w:r>
        <w:instrText xml:space="preserve"> HYPERLINK \l "_Toc454551064" </w:instrText>
      </w:r>
      <w:r>
        <w:fldChar w:fldCharType="separate"/>
      </w:r>
      <w:r>
        <w:rPr>
          <w:rStyle w:val="35"/>
          <w:rFonts w:hint="eastAsia" w:ascii="宋体" w:hAnsi="宋体"/>
          <w:b/>
          <w:color w:val="000000" w:themeColor="text1"/>
          <w:sz w:val="28"/>
          <w:szCs w:val="28"/>
        </w:rPr>
        <w:t>第二章 招标项目需求</w:t>
      </w:r>
      <w:r>
        <w:rPr>
          <w:rFonts w:ascii="宋体" w:hAnsi="宋体"/>
          <w:b/>
          <w:color w:val="000000" w:themeColor="text1"/>
          <w:sz w:val="28"/>
          <w:szCs w:val="28"/>
        </w:rPr>
        <w:tab/>
      </w:r>
      <w:r>
        <w:rPr>
          <w:rFonts w:ascii="宋体" w:hAnsi="宋体"/>
          <w:b/>
          <w:color w:val="000000" w:themeColor="text1"/>
          <w:sz w:val="28"/>
          <w:szCs w:val="28"/>
        </w:rPr>
        <w:fldChar w:fldCharType="begin"/>
      </w:r>
      <w:r>
        <w:rPr>
          <w:rFonts w:ascii="宋体" w:hAnsi="宋体"/>
          <w:b/>
          <w:color w:val="000000" w:themeColor="text1"/>
          <w:sz w:val="28"/>
          <w:szCs w:val="28"/>
        </w:rPr>
        <w:instrText xml:space="preserve"> PAGEREF _Toc454551064 \h </w:instrText>
      </w:r>
      <w:r>
        <w:rPr>
          <w:rFonts w:ascii="宋体" w:hAnsi="宋体"/>
          <w:b/>
          <w:color w:val="000000" w:themeColor="text1"/>
          <w:sz w:val="28"/>
          <w:szCs w:val="28"/>
        </w:rPr>
        <w:fldChar w:fldCharType="separate"/>
      </w:r>
      <w:r>
        <w:rPr>
          <w:rFonts w:ascii="宋体" w:hAnsi="宋体"/>
          <w:b/>
          <w:color w:val="000000" w:themeColor="text1"/>
          <w:sz w:val="28"/>
          <w:szCs w:val="28"/>
        </w:rPr>
        <w:t>4</w:t>
      </w:r>
      <w:r>
        <w:rPr>
          <w:rFonts w:ascii="宋体" w:hAnsi="宋体"/>
          <w:b/>
          <w:color w:val="000000" w:themeColor="text1"/>
          <w:sz w:val="28"/>
          <w:szCs w:val="28"/>
        </w:rPr>
        <w:fldChar w:fldCharType="end"/>
      </w:r>
      <w:r>
        <w:rPr>
          <w:rFonts w:ascii="宋体" w:hAnsi="宋体"/>
          <w:b/>
          <w:color w:val="000000" w:themeColor="text1"/>
          <w:sz w:val="28"/>
          <w:szCs w:val="28"/>
        </w:rPr>
        <w:fldChar w:fldCharType="end"/>
      </w:r>
    </w:p>
    <w:p>
      <w:pPr>
        <w:pStyle w:val="24"/>
        <w:rPr>
          <w:rFonts w:ascii="宋体" w:hAnsi="宋体"/>
          <w:b/>
          <w:color w:val="000000" w:themeColor="text1"/>
          <w:sz w:val="28"/>
          <w:szCs w:val="28"/>
        </w:rPr>
      </w:pPr>
      <w:r>
        <w:fldChar w:fldCharType="begin"/>
      </w:r>
      <w:r>
        <w:instrText xml:space="preserve"> HYPERLINK \l "_Toc454551065" </w:instrText>
      </w:r>
      <w:r>
        <w:fldChar w:fldCharType="separate"/>
      </w:r>
      <w:r>
        <w:rPr>
          <w:rStyle w:val="35"/>
          <w:rFonts w:hint="eastAsia" w:ascii="宋体" w:hAnsi="宋体"/>
          <w:b/>
          <w:color w:val="000000" w:themeColor="text1"/>
          <w:sz w:val="28"/>
          <w:szCs w:val="28"/>
        </w:rPr>
        <w:t>第三章 投标人资料表</w:t>
      </w:r>
      <w:r>
        <w:rPr>
          <w:rFonts w:ascii="宋体" w:hAnsi="宋体"/>
          <w:b/>
          <w:color w:val="000000" w:themeColor="text1"/>
          <w:sz w:val="28"/>
          <w:szCs w:val="28"/>
        </w:rPr>
        <w:tab/>
      </w:r>
      <w:r>
        <w:rPr>
          <w:rFonts w:ascii="宋体" w:hAnsi="宋体"/>
          <w:b/>
          <w:color w:val="000000" w:themeColor="text1"/>
          <w:sz w:val="28"/>
          <w:szCs w:val="28"/>
        </w:rPr>
        <w:fldChar w:fldCharType="begin"/>
      </w:r>
      <w:r>
        <w:rPr>
          <w:rFonts w:ascii="宋体" w:hAnsi="宋体"/>
          <w:b/>
          <w:color w:val="000000" w:themeColor="text1"/>
          <w:sz w:val="28"/>
          <w:szCs w:val="28"/>
        </w:rPr>
        <w:instrText xml:space="preserve"> PAGEREF _Toc454551065 \h </w:instrText>
      </w:r>
      <w:r>
        <w:rPr>
          <w:rFonts w:ascii="宋体" w:hAnsi="宋体"/>
          <w:b/>
          <w:color w:val="000000" w:themeColor="text1"/>
          <w:sz w:val="28"/>
          <w:szCs w:val="28"/>
        </w:rPr>
        <w:fldChar w:fldCharType="separate"/>
      </w:r>
      <w:r>
        <w:rPr>
          <w:rFonts w:ascii="宋体" w:hAnsi="宋体"/>
          <w:b/>
          <w:color w:val="000000" w:themeColor="text1"/>
          <w:sz w:val="28"/>
          <w:szCs w:val="28"/>
        </w:rPr>
        <w:t>6</w:t>
      </w:r>
      <w:r>
        <w:rPr>
          <w:rFonts w:ascii="宋体" w:hAnsi="宋体"/>
          <w:b/>
          <w:color w:val="000000" w:themeColor="text1"/>
          <w:sz w:val="28"/>
          <w:szCs w:val="28"/>
        </w:rPr>
        <w:fldChar w:fldCharType="end"/>
      </w:r>
      <w:r>
        <w:rPr>
          <w:rFonts w:ascii="宋体" w:hAnsi="宋体"/>
          <w:b/>
          <w:color w:val="000000" w:themeColor="text1"/>
          <w:sz w:val="28"/>
          <w:szCs w:val="28"/>
        </w:rPr>
        <w:fldChar w:fldCharType="end"/>
      </w:r>
    </w:p>
    <w:p>
      <w:pPr>
        <w:pStyle w:val="24"/>
        <w:rPr>
          <w:rFonts w:ascii="宋体" w:hAnsi="宋体"/>
          <w:b/>
          <w:color w:val="000000" w:themeColor="text1"/>
          <w:sz w:val="28"/>
          <w:szCs w:val="28"/>
        </w:rPr>
      </w:pPr>
      <w:r>
        <w:fldChar w:fldCharType="begin"/>
      </w:r>
      <w:r>
        <w:instrText xml:space="preserve"> HYPERLINK \l "_Toc454551081" </w:instrText>
      </w:r>
      <w:r>
        <w:fldChar w:fldCharType="separate"/>
      </w:r>
      <w:r>
        <w:rPr>
          <w:rStyle w:val="35"/>
          <w:rFonts w:hint="eastAsia" w:ascii="宋体" w:hAnsi="宋体"/>
          <w:b/>
          <w:color w:val="000000" w:themeColor="text1"/>
          <w:sz w:val="28"/>
          <w:szCs w:val="28"/>
        </w:rPr>
        <w:t>第四章 开标及评标办法</w:t>
      </w:r>
      <w:r>
        <w:rPr>
          <w:rFonts w:ascii="宋体" w:hAnsi="宋体"/>
          <w:b/>
          <w:color w:val="000000" w:themeColor="text1"/>
          <w:sz w:val="28"/>
          <w:szCs w:val="28"/>
        </w:rPr>
        <w:tab/>
      </w:r>
      <w:r>
        <w:rPr>
          <w:rFonts w:ascii="宋体" w:hAnsi="宋体"/>
          <w:b/>
          <w:color w:val="000000" w:themeColor="text1"/>
          <w:sz w:val="28"/>
          <w:szCs w:val="28"/>
        </w:rPr>
        <w:fldChar w:fldCharType="begin"/>
      </w:r>
      <w:r>
        <w:rPr>
          <w:rFonts w:ascii="宋体" w:hAnsi="宋体"/>
          <w:b/>
          <w:color w:val="000000" w:themeColor="text1"/>
          <w:sz w:val="28"/>
          <w:szCs w:val="28"/>
        </w:rPr>
        <w:instrText xml:space="preserve"> PAGEREF _Toc454551081 \h </w:instrText>
      </w:r>
      <w:r>
        <w:rPr>
          <w:rFonts w:ascii="宋体" w:hAnsi="宋体"/>
          <w:b/>
          <w:color w:val="000000" w:themeColor="text1"/>
          <w:sz w:val="28"/>
          <w:szCs w:val="28"/>
        </w:rPr>
        <w:fldChar w:fldCharType="separate"/>
      </w:r>
      <w:r>
        <w:rPr>
          <w:rFonts w:ascii="宋体" w:hAnsi="宋体"/>
          <w:b/>
          <w:color w:val="000000" w:themeColor="text1"/>
          <w:sz w:val="28"/>
          <w:szCs w:val="28"/>
        </w:rPr>
        <w:t>16</w:t>
      </w:r>
      <w:r>
        <w:rPr>
          <w:rFonts w:ascii="宋体" w:hAnsi="宋体"/>
          <w:b/>
          <w:color w:val="000000" w:themeColor="text1"/>
          <w:sz w:val="28"/>
          <w:szCs w:val="28"/>
        </w:rPr>
        <w:fldChar w:fldCharType="end"/>
      </w:r>
      <w:r>
        <w:rPr>
          <w:rFonts w:ascii="宋体" w:hAnsi="宋体"/>
          <w:b/>
          <w:color w:val="000000" w:themeColor="text1"/>
          <w:sz w:val="28"/>
          <w:szCs w:val="28"/>
        </w:rPr>
        <w:fldChar w:fldCharType="end"/>
      </w:r>
    </w:p>
    <w:p>
      <w:pPr>
        <w:pStyle w:val="24"/>
        <w:rPr>
          <w:rFonts w:ascii="宋体" w:hAnsi="宋体"/>
          <w:b/>
          <w:color w:val="000000" w:themeColor="text1"/>
          <w:sz w:val="28"/>
          <w:szCs w:val="28"/>
        </w:rPr>
      </w:pPr>
      <w:r>
        <w:fldChar w:fldCharType="begin"/>
      </w:r>
      <w:r>
        <w:instrText xml:space="preserve"> HYPERLINK \l "_Toc454551084" </w:instrText>
      </w:r>
      <w:r>
        <w:fldChar w:fldCharType="separate"/>
      </w:r>
      <w:r>
        <w:rPr>
          <w:rStyle w:val="35"/>
          <w:rFonts w:hint="eastAsia" w:ascii="宋体" w:hAnsi="宋体"/>
          <w:b/>
          <w:color w:val="000000" w:themeColor="text1"/>
          <w:sz w:val="28"/>
          <w:szCs w:val="28"/>
        </w:rPr>
        <w:t>第五章 定期存款存放协议</w:t>
      </w:r>
      <w:r>
        <w:rPr>
          <w:rFonts w:ascii="宋体" w:hAnsi="宋体"/>
          <w:b/>
          <w:color w:val="000000" w:themeColor="text1"/>
          <w:sz w:val="28"/>
          <w:szCs w:val="28"/>
        </w:rPr>
        <w:tab/>
      </w:r>
      <w:r>
        <w:rPr>
          <w:rFonts w:ascii="宋体" w:hAnsi="宋体"/>
          <w:b/>
          <w:color w:val="000000" w:themeColor="text1"/>
          <w:sz w:val="28"/>
          <w:szCs w:val="28"/>
        </w:rPr>
        <w:fldChar w:fldCharType="begin"/>
      </w:r>
      <w:r>
        <w:rPr>
          <w:rFonts w:ascii="宋体" w:hAnsi="宋体"/>
          <w:b/>
          <w:color w:val="000000" w:themeColor="text1"/>
          <w:sz w:val="28"/>
          <w:szCs w:val="28"/>
        </w:rPr>
        <w:instrText xml:space="preserve"> PAGEREF _Toc454551084 \h </w:instrText>
      </w:r>
      <w:r>
        <w:rPr>
          <w:rFonts w:ascii="宋体" w:hAnsi="宋体"/>
          <w:b/>
          <w:color w:val="000000" w:themeColor="text1"/>
          <w:sz w:val="28"/>
          <w:szCs w:val="28"/>
        </w:rPr>
        <w:fldChar w:fldCharType="separate"/>
      </w:r>
      <w:r>
        <w:rPr>
          <w:rFonts w:ascii="宋体" w:hAnsi="宋体"/>
          <w:b/>
          <w:color w:val="000000" w:themeColor="text1"/>
          <w:sz w:val="28"/>
          <w:szCs w:val="28"/>
        </w:rPr>
        <w:t>25</w:t>
      </w:r>
      <w:r>
        <w:rPr>
          <w:rFonts w:ascii="宋体" w:hAnsi="宋体"/>
          <w:b/>
          <w:color w:val="000000" w:themeColor="text1"/>
          <w:sz w:val="28"/>
          <w:szCs w:val="28"/>
        </w:rPr>
        <w:fldChar w:fldCharType="end"/>
      </w:r>
      <w:r>
        <w:rPr>
          <w:rFonts w:ascii="宋体" w:hAnsi="宋体"/>
          <w:b/>
          <w:color w:val="000000" w:themeColor="text1"/>
          <w:sz w:val="28"/>
          <w:szCs w:val="28"/>
        </w:rPr>
        <w:fldChar w:fldCharType="end"/>
      </w:r>
    </w:p>
    <w:p>
      <w:pPr>
        <w:pStyle w:val="24"/>
        <w:rPr>
          <w:color w:val="000000" w:themeColor="text1"/>
        </w:rPr>
      </w:pPr>
      <w:r>
        <w:fldChar w:fldCharType="begin"/>
      </w:r>
      <w:r>
        <w:instrText xml:space="preserve"> HYPERLINK \l "_Toc454551086" </w:instrText>
      </w:r>
      <w:r>
        <w:fldChar w:fldCharType="separate"/>
      </w:r>
      <w:r>
        <w:rPr>
          <w:rStyle w:val="35"/>
          <w:rFonts w:hint="eastAsia" w:ascii="宋体" w:hAnsi="宋体"/>
          <w:b/>
          <w:color w:val="000000" w:themeColor="text1"/>
          <w:sz w:val="28"/>
          <w:szCs w:val="28"/>
        </w:rPr>
        <w:t>第六章 投标文件格式</w:t>
      </w:r>
      <w:r>
        <w:rPr>
          <w:rFonts w:ascii="宋体" w:hAnsi="宋体"/>
          <w:b/>
          <w:color w:val="000000" w:themeColor="text1"/>
          <w:sz w:val="28"/>
          <w:szCs w:val="28"/>
        </w:rPr>
        <w:tab/>
      </w:r>
      <w:r>
        <w:rPr>
          <w:rFonts w:ascii="宋体" w:hAnsi="宋体"/>
          <w:b/>
          <w:color w:val="000000" w:themeColor="text1"/>
          <w:sz w:val="28"/>
          <w:szCs w:val="28"/>
        </w:rPr>
        <w:fldChar w:fldCharType="begin"/>
      </w:r>
      <w:r>
        <w:rPr>
          <w:rFonts w:ascii="宋体" w:hAnsi="宋体"/>
          <w:b/>
          <w:color w:val="000000" w:themeColor="text1"/>
          <w:sz w:val="28"/>
          <w:szCs w:val="28"/>
        </w:rPr>
        <w:instrText xml:space="preserve"> PAGEREF _Toc454551086 \h </w:instrText>
      </w:r>
      <w:r>
        <w:rPr>
          <w:rFonts w:ascii="宋体" w:hAnsi="宋体"/>
          <w:b/>
          <w:color w:val="000000" w:themeColor="text1"/>
          <w:sz w:val="28"/>
          <w:szCs w:val="28"/>
        </w:rPr>
        <w:fldChar w:fldCharType="separate"/>
      </w:r>
      <w:r>
        <w:rPr>
          <w:rFonts w:ascii="宋体" w:hAnsi="宋体"/>
          <w:b/>
          <w:color w:val="000000" w:themeColor="text1"/>
          <w:sz w:val="28"/>
          <w:szCs w:val="28"/>
        </w:rPr>
        <w:t>25</w:t>
      </w:r>
      <w:r>
        <w:rPr>
          <w:rFonts w:ascii="宋体" w:hAnsi="宋体"/>
          <w:b/>
          <w:color w:val="000000" w:themeColor="text1"/>
          <w:sz w:val="28"/>
          <w:szCs w:val="28"/>
        </w:rPr>
        <w:fldChar w:fldCharType="end"/>
      </w:r>
      <w:r>
        <w:rPr>
          <w:rFonts w:ascii="宋体" w:hAnsi="宋体"/>
          <w:b/>
          <w:color w:val="000000" w:themeColor="text1"/>
          <w:sz w:val="28"/>
          <w:szCs w:val="28"/>
        </w:rPr>
        <w:fldChar w:fldCharType="end"/>
      </w:r>
    </w:p>
    <w:p>
      <w:pPr>
        <w:rPr>
          <w:color w:val="000000" w:themeColor="text1"/>
        </w:rPr>
      </w:pPr>
    </w:p>
    <w:p>
      <w:pPr>
        <w:rPr>
          <w:rFonts w:ascii="宋体" w:hAnsi="宋体" w:cs="Arial"/>
          <w:b/>
          <w:i/>
          <w:iCs/>
          <w:color w:val="000000" w:themeColor="text1"/>
          <w:sz w:val="28"/>
          <w:szCs w:val="28"/>
        </w:rPr>
      </w:pPr>
      <w:r>
        <w:rPr>
          <w:rFonts w:ascii="宋体" w:hAnsi="宋体" w:cs="Arial"/>
          <w:b/>
          <w:i/>
          <w:iCs/>
          <w:color w:val="000000" w:themeColor="text1"/>
          <w:sz w:val="28"/>
          <w:szCs w:val="28"/>
        </w:rPr>
        <w:fldChar w:fldCharType="end"/>
      </w:r>
    </w:p>
    <w:p>
      <w:pPr>
        <w:pStyle w:val="5"/>
        <w:ind w:firstLine="0"/>
        <w:jc w:val="center"/>
        <w:rPr>
          <w:rFonts w:ascii="宋体" w:hAnsi="宋体" w:cs="Arial"/>
          <w:b w:val="0"/>
          <w:i w:val="0"/>
          <w:iCs w:val="0"/>
          <w:color w:val="000000" w:themeColor="text1"/>
          <w:sz w:val="28"/>
          <w:szCs w:val="28"/>
        </w:rPr>
        <w:sectPr>
          <w:footerReference r:id="rId6" w:type="default"/>
          <w:pgSz w:w="11906" w:h="16838"/>
          <w:pgMar w:top="1440" w:right="1469" w:bottom="1440" w:left="1797" w:header="851" w:footer="992" w:gutter="0"/>
          <w:pgNumType w:start="1"/>
          <w:cols w:space="720" w:num="1"/>
          <w:docGrid w:linePitch="312" w:charSpace="0"/>
        </w:sectPr>
      </w:pPr>
    </w:p>
    <w:p>
      <w:pPr>
        <w:pStyle w:val="5"/>
        <w:ind w:firstLine="0"/>
        <w:jc w:val="center"/>
        <w:rPr>
          <w:rFonts w:ascii="宋体" w:hAnsi="宋体"/>
          <w:i w:val="0"/>
          <w:color w:val="000000" w:themeColor="text1"/>
          <w:sz w:val="32"/>
          <w:szCs w:val="32"/>
        </w:rPr>
      </w:pPr>
      <w:bookmarkStart w:id="0" w:name="_Toc454551063"/>
      <w:r>
        <w:rPr>
          <w:rFonts w:hint="eastAsia" w:ascii="宋体" w:hAnsi="宋体"/>
          <w:bCs w:val="0"/>
          <w:i w:val="0"/>
          <w:iCs w:val="0"/>
          <w:color w:val="000000" w:themeColor="text1"/>
          <w:sz w:val="32"/>
          <w:szCs w:val="32"/>
        </w:rPr>
        <w:t xml:space="preserve">第一章 </w:t>
      </w:r>
      <w:r>
        <w:rPr>
          <w:rFonts w:hint="eastAsia" w:ascii="宋体" w:hAnsi="宋体"/>
          <w:i w:val="0"/>
          <w:color w:val="000000" w:themeColor="text1"/>
          <w:sz w:val="32"/>
          <w:szCs w:val="32"/>
        </w:rPr>
        <w:t>招标公告</w:t>
      </w:r>
      <w:bookmarkEnd w:id="0"/>
    </w:p>
    <w:p>
      <w:pPr>
        <w:spacing w:line="340" w:lineRule="exact"/>
        <w:ind w:firstLine="420" w:firstLineChars="200"/>
        <w:jc w:val="center"/>
        <w:rPr>
          <w:rFonts w:ascii="宋体" w:hAnsi="宋体"/>
          <w:color w:val="000000" w:themeColor="text1"/>
        </w:rPr>
      </w:pPr>
    </w:p>
    <w:p>
      <w:pPr>
        <w:spacing w:line="360" w:lineRule="auto"/>
        <w:rPr>
          <w:rFonts w:hint="default" w:ascii="宋体" w:hAnsi="宋体" w:eastAsia="宋体"/>
          <w:color w:val="000000" w:themeColor="text1"/>
          <w:sz w:val="24"/>
          <w:u w:val="single"/>
          <w:lang w:val="en-US" w:eastAsia="zh-CN"/>
        </w:rPr>
      </w:pPr>
      <w:r>
        <w:rPr>
          <w:rFonts w:hint="eastAsia" w:ascii="宋体" w:hAnsi="宋体"/>
          <w:b/>
          <w:color w:val="000000" w:themeColor="text1"/>
          <w:sz w:val="24"/>
          <w:lang w:eastAsia="zh-CN"/>
        </w:rPr>
        <w:t>项目编号： HZHS2026-004</w:t>
      </w:r>
      <w:r>
        <w:rPr>
          <w:rFonts w:hint="eastAsia" w:ascii="宋体" w:hAnsi="宋体"/>
          <w:color w:val="000000" w:themeColor="text1"/>
          <w:sz w:val="24"/>
          <w:u w:val="single"/>
          <w:lang w:val="en-US" w:eastAsia="zh-CN"/>
        </w:rPr>
        <w:t xml:space="preserve">   </w:t>
      </w:r>
    </w:p>
    <w:p>
      <w:pPr>
        <w:spacing w:line="360" w:lineRule="auto"/>
        <w:rPr>
          <w:rFonts w:hint="eastAsia" w:ascii="仿宋" w:hAnsi="仿宋" w:eastAsia="仿宋" w:cs="仿宋"/>
          <w:color w:val="auto"/>
          <w:sz w:val="30"/>
          <w:szCs w:val="30"/>
          <w:highlight w:val="none"/>
        </w:rPr>
      </w:pPr>
      <w:r>
        <w:rPr>
          <w:rFonts w:hint="eastAsia" w:ascii="宋体" w:hAnsi="宋体"/>
          <w:b/>
          <w:color w:val="000000" w:themeColor="text1"/>
          <w:sz w:val="24"/>
        </w:rPr>
        <w:t>发布日期</w:t>
      </w:r>
      <w:r>
        <w:rPr>
          <w:rFonts w:hint="eastAsia" w:ascii="宋体" w:hAnsi="宋体"/>
          <w:color w:val="000000" w:themeColor="text1"/>
          <w:sz w:val="24"/>
        </w:rPr>
        <w:t>：</w:t>
      </w:r>
      <w:r>
        <w:rPr>
          <w:rFonts w:hint="eastAsia" w:ascii="宋体" w:hAnsi="宋体"/>
          <w:color w:val="000000" w:themeColor="text1"/>
          <w:sz w:val="24"/>
          <w:u w:val="single"/>
        </w:rPr>
        <w:t>202</w:t>
      </w:r>
      <w:r>
        <w:rPr>
          <w:rFonts w:hint="eastAsia" w:ascii="宋体" w:hAnsi="宋体"/>
          <w:color w:val="000000" w:themeColor="text1"/>
          <w:sz w:val="24"/>
          <w:u w:val="single"/>
          <w:lang w:val="en-US" w:eastAsia="zh-CN"/>
        </w:rPr>
        <w:t>6</w:t>
      </w:r>
      <w:r>
        <w:rPr>
          <w:rFonts w:hint="eastAsia" w:ascii="宋体" w:hAnsi="宋体"/>
          <w:color w:val="000000" w:themeColor="text1"/>
          <w:sz w:val="24"/>
          <w:u w:val="single"/>
        </w:rPr>
        <w:t>年</w:t>
      </w:r>
      <w:r>
        <w:rPr>
          <w:rFonts w:hint="eastAsia" w:ascii="宋体" w:hAnsi="宋体"/>
          <w:color w:val="000000" w:themeColor="text1"/>
          <w:sz w:val="24"/>
          <w:u w:val="single"/>
          <w:lang w:val="en-US" w:eastAsia="zh-CN"/>
        </w:rPr>
        <w:t>6</w:t>
      </w:r>
      <w:r>
        <w:rPr>
          <w:rFonts w:hint="eastAsia" w:ascii="宋体" w:hAnsi="宋体"/>
          <w:color w:val="000000" w:themeColor="text1"/>
          <w:sz w:val="24"/>
          <w:u w:val="single"/>
        </w:rPr>
        <w:t>月</w:t>
      </w:r>
      <w:r>
        <w:rPr>
          <w:rFonts w:hint="eastAsia" w:ascii="宋体" w:hAnsi="宋体"/>
          <w:color w:val="000000" w:themeColor="text1"/>
          <w:sz w:val="24"/>
          <w:u w:val="single"/>
          <w:lang w:val="en-US" w:eastAsia="zh-CN"/>
        </w:rPr>
        <w:t>26</w:t>
      </w:r>
      <w:r>
        <w:rPr>
          <w:rFonts w:hint="eastAsia" w:ascii="宋体" w:hAnsi="宋体"/>
          <w:color w:val="000000" w:themeColor="text1"/>
          <w:sz w:val="24"/>
          <w:u w:val="single"/>
        </w:rPr>
        <w:t>日</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根据《中华人民共和国民法典》、《中共浙江省委办公厅、浙江省人民政府办公厅印发&lt;关于防止领导干部在公款存放方面发生利益冲突和利益输送的办法&gt;的通知》(浙委办发[2015]8 号)，《建德市财政局关于印发建德市市级行政事业单位公款竞争性存放管理办法的通知》有关规定，本着公开、公平、公正的原则</w:t>
      </w:r>
      <w:r>
        <w:rPr>
          <w:rFonts w:hint="eastAsia" w:ascii="宋体" w:hAnsi="宋体"/>
          <w:color w:val="000000" w:themeColor="text1"/>
          <w:sz w:val="24"/>
        </w:rPr>
        <w:t>，受</w:t>
      </w:r>
      <w:r>
        <w:rPr>
          <w:rFonts w:hint="eastAsia" w:ascii="宋体" w:hAnsi="宋体" w:cs="Times New Roman"/>
          <w:color w:val="000000" w:themeColor="text1"/>
          <w:sz w:val="24"/>
          <w:u w:val="single"/>
          <w:lang w:eastAsia="zh-CN"/>
        </w:rPr>
        <w:t xml:space="preserve">建德市规划和自然资源局 </w:t>
      </w:r>
      <w:r>
        <w:rPr>
          <w:rFonts w:hint="eastAsia" w:ascii="宋体" w:hAnsi="宋体"/>
          <w:color w:val="000000" w:themeColor="text1"/>
          <w:sz w:val="24"/>
        </w:rPr>
        <w:t>的委托，</w:t>
      </w:r>
      <w:r>
        <w:rPr>
          <w:rFonts w:hint="eastAsia" w:ascii="宋体" w:hAnsi="宋体"/>
          <w:color w:val="000000" w:themeColor="text1"/>
          <w:sz w:val="24"/>
          <w:lang w:val="en-US" w:eastAsia="zh-CN"/>
        </w:rPr>
        <w:t>杭州海盛工程造价咨询有限公司</w:t>
      </w:r>
      <w:r>
        <w:rPr>
          <w:rFonts w:hint="eastAsia" w:ascii="宋体" w:hAnsi="宋体"/>
          <w:color w:val="000000" w:themeColor="text1"/>
          <w:sz w:val="24"/>
        </w:rPr>
        <w:t>对</w:t>
      </w:r>
      <w:r>
        <w:rPr>
          <w:rFonts w:hint="eastAsia" w:ascii="宋体" w:hAnsi="宋体"/>
          <w:color w:val="000000" w:themeColor="text1"/>
          <w:sz w:val="24"/>
          <w:u w:val="single"/>
          <w:lang w:eastAsia="zh-CN"/>
        </w:rPr>
        <w:t>建德市规划和自然资源局土地出让交易保证金账户开户银行项目</w:t>
      </w:r>
      <w:r>
        <w:rPr>
          <w:rFonts w:hint="eastAsia" w:ascii="宋体" w:hAnsi="宋体"/>
          <w:color w:val="000000" w:themeColor="text1"/>
          <w:sz w:val="24"/>
        </w:rPr>
        <w:t>进行公开招标，现邀请合格的投标人参加投标。</w:t>
      </w:r>
    </w:p>
    <w:p>
      <w:pPr>
        <w:spacing w:line="360" w:lineRule="auto"/>
        <w:rPr>
          <w:rFonts w:hint="eastAsia" w:ascii="宋体" w:hAnsi="宋体" w:eastAsia="宋体" w:cs="Times New Roman"/>
          <w:color w:val="000000" w:themeColor="text1"/>
          <w:sz w:val="24"/>
          <w:u w:val="single"/>
        </w:rPr>
      </w:pPr>
      <w:r>
        <w:rPr>
          <w:rFonts w:hint="eastAsia" w:ascii="宋体" w:hAnsi="宋体"/>
          <w:b/>
          <w:color w:val="000000" w:themeColor="text1"/>
          <w:sz w:val="24"/>
        </w:rPr>
        <w:t>1、招标项目名称：</w:t>
      </w:r>
      <w:r>
        <w:rPr>
          <w:rFonts w:hint="eastAsia" w:ascii="宋体" w:hAnsi="宋体" w:cs="Times New Roman"/>
          <w:color w:val="000000" w:themeColor="text1"/>
          <w:sz w:val="24"/>
          <w:u w:val="single"/>
          <w:lang w:eastAsia="zh-CN"/>
        </w:rPr>
        <w:t>建德市规划和自然资源局土地出让交易保证金账户开户银行项目</w:t>
      </w:r>
      <w:r>
        <w:rPr>
          <w:rFonts w:hint="eastAsia" w:ascii="宋体" w:hAnsi="宋体" w:eastAsia="宋体" w:cs="Times New Roman"/>
          <w:color w:val="000000" w:themeColor="text1"/>
          <w:sz w:val="24"/>
          <w:u w:val="single"/>
        </w:rPr>
        <w:t>。</w:t>
      </w:r>
    </w:p>
    <w:p>
      <w:pPr>
        <w:spacing w:line="360" w:lineRule="auto"/>
        <w:rPr>
          <w:rFonts w:ascii="宋体" w:hAnsi="宋体"/>
          <w:color w:val="000000" w:themeColor="text1"/>
          <w:sz w:val="24"/>
        </w:rPr>
      </w:pPr>
      <w:r>
        <w:rPr>
          <w:rFonts w:hint="eastAsia" w:ascii="宋体" w:hAnsi="宋体"/>
          <w:b/>
          <w:color w:val="000000" w:themeColor="text1"/>
          <w:sz w:val="24"/>
        </w:rPr>
        <w:t>2、招标范围：</w:t>
      </w:r>
      <w:r>
        <w:rPr>
          <w:rFonts w:hint="eastAsia" w:ascii="宋体" w:hAnsi="宋体"/>
          <w:color w:val="000000" w:themeColor="text1"/>
          <w:sz w:val="24"/>
        </w:rPr>
        <w:t>资金存放单位为</w:t>
      </w:r>
      <w:r>
        <w:rPr>
          <w:rFonts w:hint="eastAsia" w:ascii="宋体" w:hAnsi="宋体" w:cs="Times New Roman"/>
          <w:color w:val="000000" w:themeColor="text1"/>
          <w:sz w:val="24"/>
          <w:u w:val="single"/>
          <w:lang w:eastAsia="zh-CN"/>
        </w:rPr>
        <w:t xml:space="preserve">建德市规划和自然资源局 </w:t>
      </w:r>
      <w:r>
        <w:rPr>
          <w:rFonts w:hint="eastAsia" w:ascii="宋体" w:hAnsi="宋体"/>
          <w:color w:val="000000" w:themeColor="text1"/>
          <w:sz w:val="24"/>
        </w:rPr>
        <w:t>。</w:t>
      </w:r>
      <w:r>
        <w:rPr>
          <w:rFonts w:hint="eastAsia" w:ascii="宋体" w:hAnsi="宋体" w:cs="宋体"/>
          <w:color w:val="000000" w:themeColor="text1"/>
          <w:sz w:val="24"/>
        </w:rPr>
        <w:t>通过公开招标方式，从合格的投标人中择优选取</w:t>
      </w:r>
      <w:r>
        <w:rPr>
          <w:rFonts w:hint="eastAsia" w:ascii="宋体" w:hAnsi="宋体" w:cs="宋体"/>
          <w:color w:val="000000" w:themeColor="text1"/>
          <w:sz w:val="24"/>
          <w:lang w:val="en-US" w:eastAsia="zh-CN"/>
        </w:rPr>
        <w:t>5</w:t>
      </w:r>
      <w:r>
        <w:rPr>
          <w:rFonts w:hint="eastAsia" w:ascii="宋体" w:hAnsi="宋体" w:cs="宋体"/>
          <w:color w:val="000000" w:themeColor="text1"/>
          <w:sz w:val="24"/>
        </w:rPr>
        <w:t>家银行</w:t>
      </w:r>
      <w:r>
        <w:rPr>
          <w:rFonts w:hint="eastAsia" w:ascii="宋体" w:hAnsi="宋体" w:cs="宋体"/>
          <w:sz w:val="24"/>
        </w:rPr>
        <w:t>管理土地出让交易保证金</w:t>
      </w:r>
      <w:r>
        <w:rPr>
          <w:rFonts w:hint="eastAsia" w:ascii="宋体" w:hAnsi="宋体" w:cs="宋体"/>
          <w:color w:val="000000" w:themeColor="text1"/>
          <w:sz w:val="24"/>
        </w:rPr>
        <w:t>，详情详见第二章“招标项目需求”</w:t>
      </w:r>
      <w:r>
        <w:rPr>
          <w:rFonts w:hint="eastAsia" w:ascii="宋体" w:hAnsi="宋体"/>
          <w:color w:val="000000" w:themeColor="text1"/>
          <w:sz w:val="24"/>
        </w:rPr>
        <w:t>。</w:t>
      </w:r>
    </w:p>
    <w:p>
      <w:pPr>
        <w:spacing w:line="360" w:lineRule="auto"/>
        <w:rPr>
          <w:rFonts w:ascii="宋体" w:hAnsi="宋体"/>
          <w:b/>
          <w:color w:val="000000" w:themeColor="text1"/>
          <w:sz w:val="24"/>
        </w:rPr>
      </w:pPr>
      <w:r>
        <w:rPr>
          <w:rFonts w:hint="eastAsia" w:ascii="宋体" w:hAnsi="宋体"/>
          <w:b/>
          <w:color w:val="000000" w:themeColor="text1"/>
          <w:sz w:val="24"/>
        </w:rPr>
        <w:t>3、投标人资格条件：</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1.本次投标人的资格条件应符合我市公款存放相关文件规定。</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2.在建德市内设有分支机构；</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本项目不接受联合体竞标，参与投标的银行不得隶属于同一法人；</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依法开展经营活动，近3年内在经营活动中无重大违法违规记录；</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监管评级达到一定标准，人民银行上年度综合评价B级及以上。</w:t>
      </w:r>
    </w:p>
    <w:p>
      <w:pPr>
        <w:spacing w:line="360" w:lineRule="auto"/>
        <w:ind w:left="15" w:leftChars="7"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default" w:ascii="宋体" w:hAnsi="宋体" w:eastAsia="宋体" w:cs="宋体"/>
          <w:bCs/>
          <w:sz w:val="24"/>
          <w:szCs w:val="24"/>
          <w:lang w:eastAsia="zh-CN"/>
        </w:rPr>
        <w:t>、</w:t>
      </w:r>
      <w:r>
        <w:rPr>
          <w:rFonts w:hint="eastAsia" w:ascii="宋体" w:hAnsi="宋体" w:eastAsia="宋体" w:cs="宋体"/>
          <w:bCs/>
          <w:sz w:val="24"/>
          <w:szCs w:val="24"/>
          <w:lang w:eastAsia="zh-CN"/>
        </w:rPr>
        <w:t>投标人须提供总行或省级分行针对本项目唯一授权书，未在浙江省设立省分行的，可由杭州分行出具唯一授权书。</w:t>
      </w:r>
    </w:p>
    <w:p>
      <w:pPr>
        <w:spacing w:line="360" w:lineRule="auto"/>
        <w:ind w:left="15" w:leftChars="7"/>
        <w:rPr>
          <w:rFonts w:ascii="宋体" w:hAnsi="宋体"/>
          <w:b/>
          <w:color w:val="000000" w:themeColor="text1"/>
          <w:sz w:val="24"/>
        </w:rPr>
      </w:pPr>
      <w:r>
        <w:rPr>
          <w:rFonts w:hint="eastAsia" w:ascii="宋体" w:hAnsi="宋体"/>
          <w:b/>
          <w:color w:val="000000" w:themeColor="text1"/>
          <w:sz w:val="24"/>
        </w:rPr>
        <w:t>4、获取招标文件</w:t>
      </w:r>
    </w:p>
    <w:p>
      <w:pPr>
        <w:spacing w:line="360" w:lineRule="auto"/>
        <w:ind w:left="15" w:leftChars="7"/>
        <w:rPr>
          <w:rFonts w:ascii="宋体" w:hAnsi="宋体"/>
          <w:color w:val="000000" w:themeColor="text1"/>
          <w:sz w:val="24"/>
        </w:rPr>
      </w:pPr>
      <w:r>
        <w:rPr>
          <w:rFonts w:hint="eastAsia" w:ascii="宋体" w:hAnsi="宋体"/>
          <w:color w:val="000000" w:themeColor="text1"/>
          <w:sz w:val="24"/>
        </w:rPr>
        <w:t>时间：202</w:t>
      </w:r>
      <w:r>
        <w:rPr>
          <w:rFonts w:hint="eastAsia" w:ascii="宋体" w:hAnsi="宋体"/>
          <w:color w:val="000000" w:themeColor="text1"/>
          <w:sz w:val="24"/>
          <w:lang w:val="en-US" w:eastAsia="zh-CN"/>
        </w:rPr>
        <w:t>6</w:t>
      </w:r>
      <w:r>
        <w:rPr>
          <w:rFonts w:hint="eastAsia" w:ascii="宋体" w:hAnsi="宋体"/>
          <w:color w:val="000000" w:themeColor="text1"/>
          <w:sz w:val="24"/>
        </w:rPr>
        <w:t>年</w:t>
      </w:r>
      <w:r>
        <w:rPr>
          <w:rFonts w:hint="eastAsia" w:ascii="宋体" w:hAnsi="宋体"/>
          <w:color w:val="000000" w:themeColor="text1"/>
          <w:sz w:val="24"/>
          <w:lang w:val="en-US" w:eastAsia="zh-CN"/>
        </w:rPr>
        <w:t xml:space="preserve"> 6</w:t>
      </w:r>
      <w:r>
        <w:rPr>
          <w:rFonts w:hint="eastAsia" w:ascii="宋体" w:hAnsi="宋体"/>
          <w:color w:val="000000" w:themeColor="text1"/>
          <w:sz w:val="24"/>
        </w:rPr>
        <w:t>月</w:t>
      </w:r>
      <w:r>
        <w:rPr>
          <w:rFonts w:hint="eastAsia" w:ascii="宋体" w:hAnsi="宋体"/>
          <w:color w:val="000000" w:themeColor="text1"/>
          <w:sz w:val="24"/>
          <w:lang w:val="en-US" w:eastAsia="zh-CN"/>
        </w:rPr>
        <w:t>26</w:t>
      </w:r>
      <w:r>
        <w:rPr>
          <w:rFonts w:hint="eastAsia" w:ascii="宋体" w:hAnsi="宋体"/>
          <w:color w:val="000000" w:themeColor="text1"/>
          <w:sz w:val="24"/>
        </w:rPr>
        <w:t>日至202</w:t>
      </w:r>
      <w:r>
        <w:rPr>
          <w:rFonts w:hint="eastAsia" w:ascii="宋体" w:hAnsi="宋体"/>
          <w:color w:val="000000" w:themeColor="text1"/>
          <w:sz w:val="24"/>
          <w:lang w:val="en-US" w:eastAsia="zh-CN"/>
        </w:rPr>
        <w:t>6</w:t>
      </w:r>
      <w:r>
        <w:rPr>
          <w:rFonts w:hint="eastAsia" w:ascii="宋体" w:hAnsi="宋体"/>
          <w:color w:val="000000" w:themeColor="text1"/>
          <w:sz w:val="24"/>
        </w:rPr>
        <w:t>年</w:t>
      </w:r>
      <w:r>
        <w:rPr>
          <w:rFonts w:hint="eastAsia" w:ascii="宋体" w:hAnsi="宋体"/>
          <w:color w:val="000000" w:themeColor="text1"/>
          <w:sz w:val="24"/>
          <w:lang w:val="en-US" w:eastAsia="zh-CN"/>
        </w:rPr>
        <w:t>7</w:t>
      </w:r>
      <w:r>
        <w:rPr>
          <w:rFonts w:hint="eastAsia" w:ascii="宋体" w:hAnsi="宋体"/>
          <w:color w:val="000000" w:themeColor="text1"/>
          <w:sz w:val="24"/>
        </w:rPr>
        <w:t>月</w:t>
      </w:r>
      <w:r>
        <w:rPr>
          <w:rFonts w:hint="eastAsia" w:ascii="宋体" w:hAnsi="宋体"/>
          <w:color w:val="000000" w:themeColor="text1"/>
          <w:sz w:val="24"/>
          <w:lang w:val="en-US" w:eastAsia="zh-CN"/>
        </w:rPr>
        <w:t>17</w:t>
      </w:r>
      <w:r>
        <w:rPr>
          <w:rFonts w:hint="eastAsia" w:ascii="宋体" w:hAnsi="宋体"/>
          <w:color w:val="000000" w:themeColor="text1"/>
          <w:sz w:val="24"/>
        </w:rPr>
        <w:t>日，每天上午00:00至12:00，下午12:00至23:59（北京时间）</w:t>
      </w:r>
    </w:p>
    <w:p>
      <w:pPr>
        <w:spacing w:line="360" w:lineRule="auto"/>
        <w:ind w:left="15" w:leftChars="7"/>
        <w:rPr>
          <w:rFonts w:ascii="宋体" w:hAnsi="宋体"/>
          <w:color w:val="000000" w:themeColor="text1"/>
          <w:sz w:val="24"/>
        </w:rPr>
      </w:pPr>
      <w:r>
        <w:rPr>
          <w:rFonts w:hint="eastAsia" w:ascii="宋体" w:hAnsi="宋体"/>
          <w:color w:val="000000" w:themeColor="text1"/>
          <w:sz w:val="24"/>
        </w:rPr>
        <w:t>地点（网址）：浙江省公款竞争性存放网上招标平台（https://gkcf-login.czt.zj.gov.cn）。</w:t>
      </w:r>
    </w:p>
    <w:p>
      <w:pPr>
        <w:spacing w:line="360" w:lineRule="auto"/>
        <w:ind w:left="15" w:leftChars="7"/>
        <w:rPr>
          <w:rFonts w:ascii="宋体" w:hAnsi="宋体"/>
          <w:color w:val="000000" w:themeColor="text1"/>
          <w:sz w:val="24"/>
        </w:rPr>
      </w:pPr>
      <w:r>
        <w:rPr>
          <w:rFonts w:hint="eastAsia" w:ascii="宋体" w:hAnsi="宋体"/>
          <w:color w:val="000000" w:themeColor="text1"/>
          <w:sz w:val="24"/>
        </w:rPr>
        <w:t>（1）本项目招标文件实行“</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”在线获取，不提供招标文件纸质版。投标人获取招标文件前应先完成“</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 xml:space="preserve">”的账号注册； </w:t>
      </w:r>
    </w:p>
    <w:p>
      <w:pPr>
        <w:spacing w:line="360" w:lineRule="auto"/>
        <w:ind w:left="15" w:leftChars="7"/>
        <w:rPr>
          <w:rFonts w:ascii="宋体" w:hAnsi="宋体"/>
          <w:color w:val="000000" w:themeColor="text1"/>
          <w:sz w:val="24"/>
        </w:rPr>
      </w:pPr>
      <w:r>
        <w:rPr>
          <w:rFonts w:hint="eastAsia" w:ascii="宋体" w:hAnsi="宋体"/>
          <w:color w:val="000000" w:themeColor="text1"/>
          <w:sz w:val="24"/>
        </w:rPr>
        <w:t xml:space="preserve">（2）潜在投标人登陆浙江省公款竞争性存放网上招标平台，在线申请获取招标文件（进入“公款竞争性存放”应用，在获取招标文件菜单中选择项目，申请获取招标文件；仅需浏览招标文件的投标人可点击“游客，浏览招标文件”直接下载招标文件浏览）； </w:t>
      </w:r>
    </w:p>
    <w:p>
      <w:pPr>
        <w:spacing w:line="360" w:lineRule="auto"/>
        <w:ind w:left="15" w:leftChars="7"/>
        <w:rPr>
          <w:rFonts w:ascii="宋体" w:hAnsi="宋体"/>
          <w:color w:val="000000" w:themeColor="text1"/>
          <w:sz w:val="24"/>
        </w:rPr>
      </w:pPr>
      <w:r>
        <w:rPr>
          <w:rFonts w:hint="eastAsia" w:ascii="宋体" w:hAnsi="宋体"/>
          <w:color w:val="000000" w:themeColor="text1"/>
          <w:sz w:val="24"/>
        </w:rPr>
        <w:t>（3）招标公告附件内的招标文件仅供阅览使用，投标人只有在“</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完成获取招标文件申请并下载了招标文件且通过审核后才视作依法获取招标文件（法律法规所指的投标人获取招标文件时间以投标人完成获取招标文件申请后下载招标文件且通过审核后的时间为准）。未按照招标文件规定程序依法获取招标文件的潜在投标人，对招标文件提起质疑的，按照无效质疑处理。采购代理机构拒绝接收未依法获取本项目招标文件的投标人提交的投标文件。</w:t>
      </w:r>
    </w:p>
    <w:p>
      <w:pPr>
        <w:spacing w:line="360" w:lineRule="auto"/>
        <w:ind w:left="15" w:leftChars="7"/>
        <w:rPr>
          <w:rFonts w:ascii="宋体" w:hAnsi="宋体"/>
          <w:color w:val="000000" w:themeColor="text1"/>
          <w:sz w:val="24"/>
        </w:rPr>
      </w:pPr>
      <w:r>
        <w:rPr>
          <w:rFonts w:hint="eastAsia" w:ascii="宋体" w:hAnsi="宋体"/>
          <w:color w:val="000000" w:themeColor="text1"/>
          <w:sz w:val="24"/>
        </w:rPr>
        <w:t>注：请投标人按上述要求获取招标文件，如未在“</w:t>
      </w:r>
      <w:r>
        <w:rPr>
          <w:rFonts w:hint="eastAsia" w:ascii="宋体" w:hAnsi="宋体"/>
          <w:color w:val="000000" w:themeColor="text1"/>
          <w:sz w:val="24"/>
          <w:lang w:eastAsia="zh-CN"/>
        </w:rPr>
        <w:t>政采云</w:t>
      </w:r>
      <w:r>
        <w:rPr>
          <w:rFonts w:hint="eastAsia" w:ascii="宋体" w:hAnsi="宋体"/>
          <w:color w:val="000000" w:themeColor="text1"/>
          <w:sz w:val="24"/>
        </w:rPr>
        <w:t xml:space="preserve">”系统内完成相关流程，引起的投标无效责任自负。  </w:t>
      </w:r>
    </w:p>
    <w:p>
      <w:pPr>
        <w:spacing w:line="360" w:lineRule="auto"/>
        <w:rPr>
          <w:rFonts w:ascii="宋体" w:hAnsi="宋体"/>
          <w:b/>
          <w:color w:val="000000" w:themeColor="text1"/>
          <w:sz w:val="24"/>
        </w:rPr>
      </w:pPr>
      <w:r>
        <w:rPr>
          <w:rFonts w:hint="eastAsia" w:ascii="宋体" w:hAnsi="宋体"/>
          <w:color w:val="000000" w:themeColor="text1"/>
          <w:sz w:val="24"/>
          <w:lang w:val="en-US" w:eastAsia="zh-CN"/>
        </w:rPr>
        <w:t xml:space="preserve"> </w:t>
      </w:r>
      <w:r>
        <w:rPr>
          <w:rFonts w:hint="eastAsia" w:ascii="宋体" w:hAnsi="宋体"/>
          <w:b/>
          <w:color w:val="000000" w:themeColor="text1"/>
          <w:sz w:val="24"/>
        </w:rPr>
        <w:t>5、提交投标文件截止时间、开标时间和地点</w:t>
      </w:r>
    </w:p>
    <w:p>
      <w:pPr>
        <w:spacing w:line="360" w:lineRule="auto"/>
        <w:rPr>
          <w:rFonts w:ascii="宋体" w:hAnsi="宋体"/>
          <w:color w:val="000000" w:themeColor="text1"/>
          <w:sz w:val="24"/>
        </w:rPr>
      </w:pPr>
      <w:r>
        <w:rPr>
          <w:rFonts w:hint="eastAsia" w:ascii="宋体" w:hAnsi="宋体"/>
          <w:color w:val="000000" w:themeColor="text1"/>
          <w:sz w:val="24"/>
        </w:rPr>
        <w:t>提交投标文件截止时间：202</w:t>
      </w:r>
      <w:r>
        <w:rPr>
          <w:rFonts w:hint="eastAsia" w:ascii="宋体" w:hAnsi="宋体"/>
          <w:color w:val="000000" w:themeColor="text1"/>
          <w:sz w:val="24"/>
          <w:lang w:val="en-US" w:eastAsia="zh-CN"/>
        </w:rPr>
        <w:t>6</w:t>
      </w:r>
      <w:r>
        <w:rPr>
          <w:rFonts w:hint="eastAsia" w:ascii="宋体" w:hAnsi="宋体"/>
          <w:color w:val="000000" w:themeColor="text1"/>
          <w:sz w:val="24"/>
        </w:rPr>
        <w:t>年</w:t>
      </w:r>
      <w:r>
        <w:rPr>
          <w:rFonts w:hint="eastAsia" w:ascii="宋体" w:hAnsi="宋体"/>
          <w:color w:val="000000" w:themeColor="text1"/>
          <w:sz w:val="24"/>
          <w:lang w:val="en-US" w:eastAsia="zh-CN"/>
        </w:rPr>
        <w:t>7</w:t>
      </w:r>
      <w:r>
        <w:rPr>
          <w:rFonts w:hint="eastAsia" w:ascii="宋体" w:hAnsi="宋体"/>
          <w:color w:val="000000" w:themeColor="text1"/>
          <w:sz w:val="24"/>
        </w:rPr>
        <w:t>月</w:t>
      </w:r>
      <w:r>
        <w:rPr>
          <w:rFonts w:hint="eastAsia" w:ascii="宋体" w:hAnsi="宋体"/>
          <w:color w:val="000000" w:themeColor="text1"/>
          <w:sz w:val="24"/>
          <w:lang w:val="en-US" w:eastAsia="zh-CN"/>
        </w:rPr>
        <w:t>17</w:t>
      </w:r>
      <w:r>
        <w:rPr>
          <w:rFonts w:hint="eastAsia" w:ascii="宋体" w:hAnsi="宋体"/>
          <w:color w:val="000000" w:themeColor="text1"/>
          <w:sz w:val="24"/>
        </w:rPr>
        <w:t>日14点00分（北京时间）。</w:t>
      </w:r>
    </w:p>
    <w:p>
      <w:pPr>
        <w:spacing w:line="360" w:lineRule="auto"/>
        <w:rPr>
          <w:rFonts w:ascii="宋体" w:hAnsi="宋体"/>
          <w:color w:val="000000" w:themeColor="text1"/>
          <w:sz w:val="24"/>
        </w:rPr>
      </w:pPr>
      <w:r>
        <w:rPr>
          <w:rFonts w:hint="eastAsia" w:ascii="宋体" w:hAnsi="宋体"/>
          <w:color w:val="000000" w:themeColor="text1"/>
          <w:sz w:val="24"/>
        </w:rPr>
        <w:t>投标地点（网址）：</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w:t>
      </w:r>
      <w:r>
        <w:rPr>
          <w:rFonts w:hint="eastAsia" w:ascii="宋体" w:hAnsi="宋体"/>
          <w:color w:val="000000" w:themeColor="text1"/>
          <w:sz w:val="24"/>
          <w:lang w:eastAsia="zh-CN"/>
        </w:rPr>
        <w:t>https://gkcf-login.czt.zj.gov.cn</w:t>
      </w:r>
      <w:r>
        <w:rPr>
          <w:rFonts w:hint="eastAsia" w:ascii="宋体" w:hAnsi="宋体"/>
          <w:color w:val="000000" w:themeColor="text1"/>
          <w:sz w:val="24"/>
        </w:rPr>
        <w:t>）（线上）</w:t>
      </w:r>
    </w:p>
    <w:p>
      <w:pPr>
        <w:spacing w:line="360" w:lineRule="auto"/>
        <w:rPr>
          <w:rFonts w:ascii="宋体" w:hAnsi="宋体"/>
          <w:color w:val="000000" w:themeColor="text1"/>
          <w:sz w:val="24"/>
        </w:rPr>
      </w:pPr>
      <w:r>
        <w:rPr>
          <w:rFonts w:hint="eastAsia" w:ascii="宋体" w:hAnsi="宋体"/>
          <w:color w:val="000000" w:themeColor="text1"/>
          <w:sz w:val="24"/>
        </w:rPr>
        <w:t>开标时间：202</w:t>
      </w:r>
      <w:r>
        <w:rPr>
          <w:rFonts w:hint="eastAsia" w:ascii="宋体" w:hAnsi="宋体"/>
          <w:color w:val="000000" w:themeColor="text1"/>
          <w:sz w:val="24"/>
          <w:lang w:val="en-US" w:eastAsia="zh-CN"/>
        </w:rPr>
        <w:t>6</w:t>
      </w:r>
      <w:r>
        <w:rPr>
          <w:rFonts w:hint="eastAsia" w:ascii="宋体" w:hAnsi="宋体"/>
          <w:color w:val="000000" w:themeColor="text1"/>
          <w:sz w:val="24"/>
        </w:rPr>
        <w:t>年</w:t>
      </w:r>
      <w:r>
        <w:rPr>
          <w:rFonts w:hint="eastAsia" w:ascii="宋体" w:hAnsi="宋体"/>
          <w:color w:val="000000" w:themeColor="text1"/>
          <w:sz w:val="24"/>
          <w:lang w:val="en-US" w:eastAsia="zh-CN"/>
        </w:rPr>
        <w:t>7</w:t>
      </w:r>
      <w:r>
        <w:rPr>
          <w:rFonts w:hint="eastAsia" w:ascii="宋体" w:hAnsi="宋体"/>
          <w:color w:val="000000" w:themeColor="text1"/>
          <w:sz w:val="24"/>
        </w:rPr>
        <w:t>月</w:t>
      </w:r>
      <w:r>
        <w:rPr>
          <w:rFonts w:hint="eastAsia" w:ascii="宋体" w:hAnsi="宋体"/>
          <w:color w:val="000000" w:themeColor="text1"/>
          <w:sz w:val="24"/>
          <w:lang w:val="en-US" w:eastAsia="zh-CN"/>
        </w:rPr>
        <w:t>17</w:t>
      </w:r>
      <w:r>
        <w:rPr>
          <w:rFonts w:hint="eastAsia" w:ascii="宋体" w:hAnsi="宋体"/>
          <w:color w:val="000000" w:themeColor="text1"/>
          <w:sz w:val="24"/>
        </w:rPr>
        <w:t>日14:00 （北京时间）</w:t>
      </w:r>
    </w:p>
    <w:p>
      <w:pPr>
        <w:spacing w:line="360" w:lineRule="auto"/>
        <w:rPr>
          <w:rFonts w:ascii="宋体" w:hAnsi="宋体"/>
          <w:color w:val="000000" w:themeColor="text1"/>
          <w:sz w:val="24"/>
        </w:rPr>
      </w:pPr>
      <w:r>
        <w:rPr>
          <w:rFonts w:hint="eastAsia" w:ascii="宋体" w:hAnsi="宋体"/>
          <w:color w:val="000000" w:themeColor="text1"/>
          <w:sz w:val="24"/>
        </w:rPr>
        <w:t>开标地点（网址）：</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w:t>
      </w:r>
      <w:r>
        <w:rPr>
          <w:rFonts w:hint="eastAsia" w:ascii="宋体" w:hAnsi="宋体"/>
          <w:color w:val="000000" w:themeColor="text1"/>
          <w:sz w:val="24"/>
          <w:lang w:eastAsia="zh-CN"/>
        </w:rPr>
        <w:t>https://gkcf-login.czt.zj.gov.cn</w:t>
      </w:r>
      <w:r>
        <w:rPr>
          <w:rFonts w:hint="eastAsia" w:ascii="宋体" w:hAnsi="宋体"/>
          <w:color w:val="000000" w:themeColor="text1"/>
          <w:sz w:val="24"/>
        </w:rPr>
        <w:t>）（线上），本项目通过“</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”实行在线电子评标，投标人可在线参加开标。</w:t>
      </w:r>
    </w:p>
    <w:p>
      <w:pPr>
        <w:spacing w:line="360" w:lineRule="auto"/>
        <w:rPr>
          <w:rFonts w:ascii="宋体" w:hAnsi="宋体"/>
          <w:b/>
          <w:color w:val="000000" w:themeColor="text1"/>
          <w:sz w:val="24"/>
        </w:rPr>
      </w:pPr>
      <w:r>
        <w:rPr>
          <w:rFonts w:hint="eastAsia" w:ascii="宋体" w:hAnsi="宋体"/>
          <w:b/>
          <w:color w:val="000000" w:themeColor="text1"/>
          <w:sz w:val="24"/>
        </w:rPr>
        <w:t>6、其他注意事项</w:t>
      </w:r>
    </w:p>
    <w:p>
      <w:pPr>
        <w:spacing w:line="360" w:lineRule="auto"/>
        <w:rPr>
          <w:rFonts w:ascii="宋体" w:hAnsi="宋体"/>
          <w:color w:val="000000" w:themeColor="text1"/>
          <w:sz w:val="24"/>
        </w:rPr>
      </w:pPr>
      <w:r>
        <w:rPr>
          <w:rFonts w:hint="eastAsia" w:ascii="宋体" w:hAnsi="宋体"/>
          <w:color w:val="000000" w:themeColor="text1"/>
          <w:sz w:val="24"/>
        </w:rPr>
        <w:t xml:space="preserve">（1）各投标人应在开标前确保成为浙江省政府采购网正式注册入库投标人，并完成CA数字证书办理。因未注册入库、未办理CA数字证书等原因造成无法投标或投标失败等后果由投标人自行承担。（具体操作详见投标人CA申领操作指南https://help.zcygov.cn/web/site_2/2018/11-29/2452.html）。 </w:t>
      </w:r>
    </w:p>
    <w:p>
      <w:pPr>
        <w:spacing w:line="360" w:lineRule="auto"/>
        <w:rPr>
          <w:rFonts w:ascii="宋体" w:hAnsi="宋体"/>
          <w:color w:val="000000" w:themeColor="text1"/>
          <w:sz w:val="24"/>
        </w:rPr>
      </w:pPr>
      <w:r>
        <w:rPr>
          <w:rFonts w:hint="eastAsia" w:ascii="宋体" w:hAnsi="宋体"/>
          <w:color w:val="000000" w:themeColor="text1"/>
          <w:sz w:val="24"/>
        </w:rPr>
        <w:t>（2）本次采购活动有关信息在“浙江政府采购网（http://zfcg.czt.zj.gov.cn/）”网站上公布，公布信息视同送达所有潜在投标人。</w:t>
      </w:r>
    </w:p>
    <w:p>
      <w:pPr>
        <w:spacing w:line="360" w:lineRule="auto"/>
        <w:rPr>
          <w:rFonts w:ascii="宋体" w:hAnsi="宋体"/>
          <w:b/>
          <w:color w:val="000000" w:themeColor="text1"/>
          <w:sz w:val="24"/>
        </w:rPr>
      </w:pPr>
      <w:r>
        <w:rPr>
          <w:rFonts w:hint="eastAsia" w:ascii="宋体" w:hAnsi="宋体"/>
          <w:b/>
          <w:color w:val="000000" w:themeColor="text1"/>
          <w:sz w:val="24"/>
        </w:rPr>
        <w:t>7、联系方式</w:t>
      </w:r>
    </w:p>
    <w:p>
      <w:pPr>
        <w:spacing w:line="360" w:lineRule="auto"/>
        <w:ind w:firstLine="241" w:firstLineChars="100"/>
        <w:rPr>
          <w:rFonts w:hint="eastAsia" w:ascii="宋体" w:hAnsi="宋体" w:eastAsia="宋体" w:cs="Times New Roman"/>
          <w:color w:val="000000" w:themeColor="text1"/>
          <w:sz w:val="24"/>
          <w:u w:val="single"/>
          <w:lang w:eastAsia="zh-CN"/>
        </w:rPr>
      </w:pPr>
      <w:r>
        <w:rPr>
          <w:rFonts w:hint="eastAsia" w:ascii="宋体" w:hAnsi="宋体" w:eastAsia="宋体" w:cs="宋体"/>
          <w:b/>
          <w:kern w:val="0"/>
          <w:sz w:val="24"/>
          <w:szCs w:val="24"/>
          <w:lang w:val="en-US" w:eastAsia="zh-CN"/>
        </w:rPr>
        <w:t>（一）</w:t>
      </w:r>
      <w:r>
        <w:rPr>
          <w:rFonts w:hint="eastAsia" w:ascii="宋体" w:hAnsi="宋体"/>
          <w:color w:val="000000" w:themeColor="text1"/>
          <w:sz w:val="24"/>
        </w:rPr>
        <w:t>招标人名称：</w:t>
      </w:r>
      <w:r>
        <w:rPr>
          <w:rFonts w:hint="eastAsia" w:ascii="宋体" w:hAnsi="宋体" w:cs="Times New Roman"/>
          <w:color w:val="000000" w:themeColor="text1"/>
          <w:sz w:val="24"/>
          <w:u w:val="single"/>
          <w:lang w:eastAsia="zh-CN"/>
        </w:rPr>
        <w:t xml:space="preserve">建德市规划和自然资源局 </w:t>
      </w:r>
    </w:p>
    <w:p>
      <w:pPr>
        <w:spacing w:line="360" w:lineRule="auto"/>
        <w:ind w:firstLine="720" w:firstLineChars="300"/>
        <w:rPr>
          <w:rFonts w:hint="eastAsia" w:ascii="宋体" w:hAnsi="宋体" w:eastAsia="宋体" w:cs="宋体"/>
          <w:bCs/>
          <w:kern w:val="0"/>
          <w:sz w:val="24"/>
          <w:szCs w:val="24"/>
          <w:lang w:val="en-US" w:eastAsia="zh-CN"/>
        </w:rPr>
      </w:pPr>
      <w:r>
        <w:rPr>
          <w:rFonts w:hint="eastAsia" w:ascii="宋体" w:hAnsi="宋体"/>
          <w:color w:val="FF0000"/>
          <w:sz w:val="24"/>
          <w:lang w:val="en-US" w:eastAsia="zh-CN"/>
        </w:rPr>
        <w:t>地址</w:t>
      </w:r>
      <w:r>
        <w:rPr>
          <w:rFonts w:hint="eastAsia" w:ascii="宋体" w:hAnsi="宋体" w:eastAsia="宋体" w:cs="宋体"/>
          <w:bCs/>
          <w:kern w:val="0"/>
          <w:sz w:val="24"/>
          <w:szCs w:val="24"/>
          <w:lang w:val="en-US" w:eastAsia="zh-CN"/>
        </w:rPr>
        <w:t>：建德市新安东路</w:t>
      </w:r>
      <w:r>
        <w:rPr>
          <w:rFonts w:hint="default" w:ascii="宋体" w:hAnsi="宋体" w:eastAsia="宋体" w:cs="宋体"/>
          <w:bCs/>
          <w:kern w:val="0"/>
          <w:sz w:val="24"/>
          <w:szCs w:val="24"/>
          <w:lang w:val="en-US" w:eastAsia="zh-CN"/>
        </w:rPr>
        <w:t>20 号</w:t>
      </w:r>
      <w:r>
        <w:rPr>
          <w:rFonts w:hint="eastAsia" w:ascii="宋体" w:hAnsi="宋体" w:eastAsia="宋体" w:cs="宋体"/>
          <w:bCs/>
          <w:kern w:val="0"/>
          <w:sz w:val="24"/>
          <w:szCs w:val="24"/>
          <w:lang w:val="en-US" w:eastAsia="zh-CN"/>
        </w:rPr>
        <w:t xml:space="preserve">  </w:t>
      </w:r>
    </w:p>
    <w:p>
      <w:pPr>
        <w:topLinePunct/>
        <w:spacing w:line="460" w:lineRule="exact"/>
        <w:ind w:firstLine="720" w:firstLineChars="300"/>
        <w:rPr>
          <w:rFonts w:ascii="宋体" w:hAnsi="宋体" w:cs="宋体"/>
          <w:sz w:val="24"/>
        </w:rPr>
      </w:pPr>
      <w:r>
        <w:rPr>
          <w:rFonts w:hint="eastAsia" w:ascii="宋体" w:hAnsi="宋体"/>
          <w:sz w:val="24"/>
        </w:rPr>
        <w:t>电    话： 汪浩</w:t>
      </w:r>
    </w:p>
    <w:p>
      <w:pPr>
        <w:spacing w:line="360" w:lineRule="auto"/>
        <w:ind w:firstLine="720" w:firstLineChars="300"/>
        <w:rPr>
          <w:rFonts w:ascii="宋体" w:hAnsi="宋体"/>
          <w:b/>
          <w:color w:val="000000" w:themeColor="text1"/>
          <w:sz w:val="24"/>
        </w:rPr>
      </w:pPr>
      <w:r>
        <w:rPr>
          <w:rFonts w:hint="eastAsia" w:ascii="宋体" w:hAnsi="宋体"/>
          <w:color w:val="000000" w:themeColor="text1"/>
          <w:sz w:val="24"/>
        </w:rPr>
        <w:t>联 系 人：</w:t>
      </w:r>
      <w:r>
        <w:rPr>
          <w:rFonts w:hint="eastAsia" w:ascii="宋体" w:hAnsi="宋体"/>
          <w:sz w:val="24"/>
        </w:rPr>
        <w:t xml:space="preserve"> 15088651759</w:t>
      </w:r>
    </w:p>
    <w:p>
      <w:pPr>
        <w:spacing w:line="360" w:lineRule="auto"/>
        <w:ind w:firstLine="482" w:firstLineChars="200"/>
        <w:rPr>
          <w:rFonts w:hint="eastAsia" w:ascii="宋体" w:hAnsi="宋体" w:eastAsia="宋体" w:cs="宋体"/>
          <w:bCs/>
          <w:kern w:val="0"/>
          <w:sz w:val="24"/>
          <w:szCs w:val="24"/>
          <w:lang w:eastAsia="zh-CN"/>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lang w:eastAsia="zh-CN"/>
        </w:rPr>
        <w:t>招标代理</w:t>
      </w:r>
      <w:r>
        <w:rPr>
          <w:rFonts w:hint="eastAsia" w:ascii="宋体" w:hAnsi="宋体" w:eastAsia="宋体" w:cs="宋体"/>
          <w:b/>
          <w:kern w:val="0"/>
          <w:sz w:val="24"/>
          <w:szCs w:val="24"/>
          <w:lang w:val="en-US" w:eastAsia="zh-CN"/>
        </w:rPr>
        <w:t>机构</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Cs/>
          <w:kern w:val="0"/>
          <w:sz w:val="24"/>
          <w:szCs w:val="24"/>
          <w:lang w:eastAsia="zh-CN"/>
        </w:rPr>
        <w:t xml:space="preserve">  </w:t>
      </w:r>
      <w:r>
        <w:rPr>
          <w:rFonts w:hint="eastAsia" w:ascii="宋体" w:hAnsi="宋体" w:cs="宋体"/>
          <w:bCs/>
          <w:kern w:val="0"/>
          <w:sz w:val="24"/>
          <w:szCs w:val="24"/>
          <w:lang w:val="en-US" w:eastAsia="zh-CN"/>
        </w:rPr>
        <w:t>杭州海盛工程造价咨询有限公司</w:t>
      </w:r>
      <w:r>
        <w:rPr>
          <w:rFonts w:hint="eastAsia" w:ascii="宋体" w:hAnsi="宋体" w:eastAsia="宋体" w:cs="宋体"/>
          <w:bCs/>
          <w:kern w:val="0"/>
          <w:sz w:val="24"/>
          <w:szCs w:val="24"/>
          <w:lang w:val="en-US" w:eastAsia="zh-CN"/>
        </w:rPr>
        <w:t xml:space="preserve"> </w:t>
      </w:r>
    </w:p>
    <w:p>
      <w:pPr>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招标代理公司地址：</w:t>
      </w:r>
      <w:r>
        <w:rPr>
          <w:rFonts w:hint="eastAsia" w:ascii="宋体" w:hAnsi="宋体" w:eastAsia="宋体" w:cs="宋体"/>
          <w:bCs/>
          <w:kern w:val="0"/>
          <w:sz w:val="24"/>
          <w:szCs w:val="24"/>
          <w:lang w:val="en-US" w:eastAsia="zh-CN"/>
        </w:rPr>
        <w:t>建德市新安江街道半岛国际大厦221</w:t>
      </w:r>
      <w:r>
        <w:rPr>
          <w:rFonts w:hint="eastAsia" w:ascii="宋体" w:hAnsi="宋体" w:cs="宋体"/>
          <w:bCs/>
          <w:kern w:val="0"/>
          <w:sz w:val="24"/>
          <w:szCs w:val="24"/>
          <w:lang w:val="en-US" w:eastAsia="zh-CN"/>
        </w:rPr>
        <w:t>8</w:t>
      </w:r>
      <w:r>
        <w:rPr>
          <w:rFonts w:hint="eastAsia" w:ascii="宋体" w:hAnsi="宋体" w:eastAsia="宋体" w:cs="宋体"/>
          <w:bCs/>
          <w:kern w:val="0"/>
          <w:sz w:val="24"/>
          <w:szCs w:val="24"/>
          <w:lang w:val="en-US" w:eastAsia="zh-CN"/>
        </w:rPr>
        <w:t>室</w:t>
      </w:r>
    </w:p>
    <w:p>
      <w:pPr>
        <w:spacing w:line="360" w:lineRule="auto"/>
        <w:ind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招标代理公司联系</w:t>
      </w:r>
      <w:r>
        <w:rPr>
          <w:rFonts w:hint="eastAsia" w:ascii="宋体" w:hAnsi="宋体" w:eastAsia="宋体" w:cs="宋体"/>
          <w:bCs/>
          <w:kern w:val="0"/>
          <w:sz w:val="24"/>
          <w:szCs w:val="24"/>
          <w:lang w:val="en-US" w:eastAsia="zh-CN"/>
        </w:rPr>
        <w:t xml:space="preserve">人及电话： 胡洋        电话：15967176160 </w:t>
      </w:r>
    </w:p>
    <w:p>
      <w:pPr>
        <w:spacing w:line="360" w:lineRule="auto"/>
        <w:ind w:firstLine="480" w:firstLineChars="200"/>
        <w:rPr>
          <w:rFonts w:hint="default"/>
          <w:lang w:val="en-US" w:eastAsia="zh-CN"/>
        </w:rPr>
      </w:pPr>
      <w:r>
        <w:rPr>
          <w:rFonts w:hint="eastAsia" w:ascii="宋体" w:hAnsi="宋体" w:eastAsia="宋体" w:cs="宋体"/>
          <w:bCs/>
          <w:kern w:val="0"/>
          <w:sz w:val="24"/>
          <w:szCs w:val="24"/>
          <w:lang w:val="en-US" w:eastAsia="zh-CN"/>
        </w:rPr>
        <w:t xml:space="preserve">招标代理公司质疑接受人：应坚      电话：15990080063  0571-64597738 </w:t>
      </w:r>
    </w:p>
    <w:p>
      <w:pPr>
        <w:spacing w:line="360" w:lineRule="auto"/>
        <w:ind w:firstLine="422" w:firstLineChars="175"/>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cs="宋体"/>
          <w:b/>
          <w:bCs/>
          <w:sz w:val="24"/>
          <w:szCs w:val="24"/>
          <w:lang w:eastAsia="zh-CN"/>
        </w:rPr>
        <w:t>）</w:t>
      </w:r>
      <w:r>
        <w:rPr>
          <w:rFonts w:hint="eastAsia" w:ascii="宋体" w:hAnsi="宋体" w:cs="宋体"/>
          <w:b/>
          <w:bCs/>
          <w:sz w:val="24"/>
          <w:szCs w:val="24"/>
        </w:rPr>
        <w:t>监督部门联系方式</w:t>
      </w:r>
    </w:p>
    <w:p>
      <w:pPr>
        <w:spacing w:line="360" w:lineRule="auto"/>
        <w:ind w:firstLine="420" w:firstLineChars="175"/>
        <w:rPr>
          <w:rFonts w:ascii="宋体" w:hAnsi="宋体" w:cs="宋体"/>
          <w:bCs/>
          <w:kern w:val="0"/>
          <w:sz w:val="24"/>
        </w:rPr>
      </w:pPr>
      <w:r>
        <w:rPr>
          <w:rFonts w:hint="eastAsia" w:ascii="宋体" w:hAnsi="宋体" w:cs="宋体"/>
          <w:bCs/>
          <w:kern w:val="0"/>
          <w:sz w:val="24"/>
        </w:rPr>
        <w:t>监管部门：</w:t>
      </w:r>
      <w:r>
        <w:rPr>
          <w:rFonts w:hint="eastAsia" w:ascii="宋体" w:hAnsi="宋体" w:cs="宋体"/>
          <w:sz w:val="24"/>
        </w:rPr>
        <w:t>建德市规划和自然资源局</w:t>
      </w:r>
      <w:r>
        <w:rPr>
          <w:rFonts w:hint="eastAsia" w:ascii="宋体" w:hAnsi="宋体" w:cs="宋体"/>
          <w:bCs/>
          <w:kern w:val="0"/>
          <w:sz w:val="24"/>
          <w:lang w:val="en-US" w:eastAsia="zh-CN"/>
        </w:rPr>
        <w:t>纪检组</w:t>
      </w:r>
      <w:r>
        <w:rPr>
          <w:rFonts w:hint="eastAsia" w:ascii="宋体" w:hAnsi="宋体" w:cs="宋体"/>
          <w:bCs/>
          <w:kern w:val="0"/>
          <w:sz w:val="24"/>
        </w:rPr>
        <w:t xml:space="preserve"> </w:t>
      </w:r>
      <w:r>
        <w:rPr>
          <w:rFonts w:hint="eastAsia" w:ascii="宋体" w:hAnsi="宋体" w:cs="宋体"/>
          <w:sz w:val="24"/>
        </w:rPr>
        <w:t xml:space="preserve"> </w:t>
      </w:r>
    </w:p>
    <w:p>
      <w:pPr>
        <w:spacing w:line="360" w:lineRule="auto"/>
        <w:ind w:firstLine="420" w:firstLineChars="175"/>
        <w:rPr>
          <w:rFonts w:hint="default" w:ascii="宋体" w:hAnsi="宋体" w:eastAsia="宋体" w:cs="宋体"/>
          <w:bCs/>
          <w:kern w:val="0"/>
          <w:sz w:val="24"/>
          <w:lang w:val="en-US" w:eastAsia="zh-CN"/>
        </w:rPr>
      </w:pPr>
      <w:r>
        <w:rPr>
          <w:rFonts w:hint="eastAsia" w:ascii="宋体" w:hAnsi="宋体" w:cs="宋体"/>
          <w:bCs/>
          <w:kern w:val="0"/>
          <w:sz w:val="24"/>
        </w:rPr>
        <w:t xml:space="preserve">联系人： </w:t>
      </w:r>
      <w:r>
        <w:rPr>
          <w:rFonts w:hint="eastAsia" w:ascii="宋体" w:hAnsi="宋体" w:cs="宋体"/>
          <w:bCs/>
          <w:kern w:val="0"/>
          <w:sz w:val="24"/>
          <w:lang w:val="en-US" w:eastAsia="zh-CN"/>
        </w:rPr>
        <w:t>傅建强</w:t>
      </w:r>
    </w:p>
    <w:p>
      <w:pPr>
        <w:spacing w:line="360" w:lineRule="auto"/>
        <w:ind w:firstLine="420" w:firstLineChars="175"/>
        <w:rPr>
          <w:rFonts w:hint="default" w:ascii="宋体" w:hAnsi="宋体" w:eastAsia="宋体" w:cs="宋体"/>
          <w:bCs/>
          <w:kern w:val="0"/>
          <w:sz w:val="24"/>
          <w:szCs w:val="24"/>
          <w:lang w:val="en-US" w:eastAsia="zh-CN"/>
        </w:rPr>
      </w:pPr>
      <w:r>
        <w:rPr>
          <w:rFonts w:hint="eastAsia" w:ascii="宋体" w:hAnsi="宋体" w:cs="宋体"/>
          <w:bCs/>
          <w:kern w:val="0"/>
          <w:sz w:val="24"/>
        </w:rPr>
        <w:t>联系电话：</w:t>
      </w:r>
      <w:r>
        <w:rPr>
          <w:rFonts w:hint="eastAsia" w:ascii="宋体" w:hAnsi="宋体" w:cs="宋体"/>
          <w:bCs/>
          <w:kern w:val="0"/>
          <w:sz w:val="24"/>
          <w:lang w:val="en-US" w:eastAsia="zh-CN"/>
        </w:rPr>
        <w:t>0571-89606090</w:t>
      </w:r>
      <w:r>
        <w:rPr>
          <w:rFonts w:hint="eastAsia" w:ascii="宋体" w:hAnsi="宋体" w:cs="宋体"/>
          <w:bCs/>
          <w:kern w:val="0"/>
          <w:sz w:val="24"/>
          <w:szCs w:val="24"/>
          <w:lang w:val="en-US" w:eastAsia="zh-CN"/>
        </w:rPr>
        <w:t xml:space="preserve">  </w:t>
      </w:r>
    </w:p>
    <w:p>
      <w:pPr>
        <w:spacing w:line="360" w:lineRule="auto"/>
        <w:ind w:firstLine="422" w:firstLineChars="175"/>
        <w:rPr>
          <w:rFonts w:hint="eastAsia" w:ascii="宋体" w:hAnsi="宋体" w:cs="宋体"/>
          <w:b/>
          <w:bCs/>
          <w:sz w:val="24"/>
          <w:szCs w:val="24"/>
          <w:lang w:eastAsia="zh-CN"/>
        </w:rPr>
      </w:pPr>
      <w:r>
        <w:rPr>
          <w:rFonts w:hint="eastAsia" w:ascii="宋体" w:hAnsi="宋体" w:cs="宋体"/>
          <w:b/>
          <w:bCs/>
          <w:sz w:val="24"/>
          <w:szCs w:val="24"/>
          <w:lang w:val="en-US" w:eastAsia="zh-CN"/>
        </w:rPr>
        <w:t>（四）</w:t>
      </w:r>
      <w:r>
        <w:rPr>
          <w:rFonts w:hint="eastAsia" w:ascii="宋体" w:hAnsi="宋体" w:cs="宋体"/>
          <w:b/>
          <w:bCs/>
          <w:sz w:val="24"/>
          <w:szCs w:val="24"/>
          <w:lang w:eastAsia="zh-CN"/>
        </w:rPr>
        <w:t>“政采云”平台操作咨询</w:t>
      </w:r>
    </w:p>
    <w:p>
      <w:pPr>
        <w:spacing w:line="360" w:lineRule="auto"/>
        <w:ind w:firstLine="420" w:firstLineChars="175"/>
        <w:rPr>
          <w:rFonts w:hint="eastAsia" w:ascii="宋体" w:hAnsi="宋体" w:cs="宋体"/>
          <w:bCs/>
          <w:kern w:val="0"/>
          <w:sz w:val="24"/>
          <w:szCs w:val="24"/>
        </w:rPr>
      </w:pPr>
      <w:r>
        <w:rPr>
          <w:rFonts w:hint="eastAsia" w:ascii="宋体" w:hAnsi="宋体" w:cs="宋体"/>
          <w:bCs/>
          <w:kern w:val="0"/>
          <w:sz w:val="24"/>
          <w:szCs w:val="24"/>
          <w:lang w:val="en-US" w:eastAsia="zh-CN"/>
        </w:rPr>
        <w:t>政采云</w:t>
      </w:r>
      <w:r>
        <w:rPr>
          <w:rFonts w:hint="eastAsia" w:ascii="宋体" w:hAnsi="宋体" w:cs="宋体"/>
          <w:bCs/>
          <w:kern w:val="0"/>
          <w:sz w:val="24"/>
          <w:szCs w:val="24"/>
        </w:rPr>
        <w:t>咨询电话：</w:t>
      </w:r>
      <w:r>
        <w:rPr>
          <w:rFonts w:hint="eastAsia" w:ascii="宋体" w:hAnsi="宋体" w:cs="宋体"/>
          <w:bCs/>
          <w:kern w:val="0"/>
          <w:sz w:val="24"/>
          <w:szCs w:val="24"/>
          <w:lang w:val="en-US" w:eastAsia="zh-CN"/>
        </w:rPr>
        <w:t>95763</w:t>
      </w:r>
      <w:r>
        <w:rPr>
          <w:rFonts w:hint="eastAsia" w:ascii="宋体" w:hAnsi="宋体" w:cs="宋体"/>
          <w:bCs/>
          <w:kern w:val="0"/>
          <w:sz w:val="24"/>
          <w:szCs w:val="24"/>
        </w:rPr>
        <w:t>；</w:t>
      </w:r>
    </w:p>
    <w:p>
      <w:pPr>
        <w:spacing w:line="360" w:lineRule="auto"/>
        <w:ind w:firstLine="480" w:firstLineChars="200"/>
        <w:rPr>
          <w:rFonts w:hint="eastAsia" w:ascii="宋体" w:hAnsi="宋体" w:eastAsia="宋体"/>
          <w:color w:val="000000" w:themeColor="text1"/>
          <w:sz w:val="24"/>
          <w:lang w:eastAsia="zh-CN"/>
        </w:rPr>
      </w:pPr>
      <w:r>
        <w:rPr>
          <w:rFonts w:hint="eastAsia" w:ascii="宋体" w:hAnsi="宋体" w:cs="宋体"/>
          <w:bCs/>
          <w:kern w:val="0"/>
          <w:sz w:val="24"/>
          <w:szCs w:val="24"/>
          <w:lang w:val="en-US" w:eastAsia="zh-CN"/>
        </w:rPr>
        <w:t>政采云</w:t>
      </w:r>
      <w:r>
        <w:rPr>
          <w:rFonts w:hint="eastAsia" w:ascii="宋体" w:hAnsi="宋体" w:cs="宋体"/>
          <w:bCs/>
          <w:kern w:val="0"/>
          <w:sz w:val="24"/>
          <w:szCs w:val="24"/>
        </w:rPr>
        <w:t>平台服务中心：</w:t>
      </w:r>
      <w:r>
        <w:rPr>
          <w:rFonts w:hint="eastAsia" w:ascii="宋体" w:hAnsi="宋体" w:cs="宋体"/>
          <w:bCs/>
          <w:kern w:val="0"/>
          <w:sz w:val="24"/>
          <w:szCs w:val="24"/>
          <w:lang w:eastAsia="zh-CN"/>
        </w:rPr>
        <w:t>https://login-lcy.lecaiyun.com</w:t>
      </w:r>
      <w:r>
        <w:rPr>
          <w:rFonts w:hint="eastAsia" w:ascii="宋体" w:hAnsi="宋体"/>
          <w:color w:val="000000" w:themeColor="text1"/>
          <w:sz w:val="24"/>
        </w:rPr>
        <w:t xml:space="preserve"> </w:t>
      </w:r>
      <w:r>
        <w:rPr>
          <w:rFonts w:hint="eastAsia" w:ascii="宋体" w:hAnsi="宋体"/>
          <w:color w:val="000000" w:themeColor="text1"/>
          <w:sz w:val="24"/>
          <w:lang w:val="en-US" w:eastAsia="zh-CN"/>
        </w:rPr>
        <w:t xml:space="preserve"> </w:t>
      </w:r>
    </w:p>
    <w:p>
      <w:pPr>
        <w:pStyle w:val="5"/>
        <w:ind w:firstLine="0"/>
        <w:jc w:val="center"/>
        <w:rPr>
          <w:rFonts w:ascii="宋体" w:hAnsi="宋体"/>
          <w:bCs w:val="0"/>
          <w:i w:val="0"/>
          <w:iCs w:val="0"/>
          <w:color w:val="000000" w:themeColor="text1"/>
          <w:sz w:val="32"/>
          <w:szCs w:val="32"/>
        </w:rPr>
      </w:pPr>
      <w:r>
        <w:rPr>
          <w:rFonts w:ascii="宋体" w:hAnsi="宋体"/>
          <w:i w:val="0"/>
          <w:color w:val="000000" w:themeColor="text1"/>
          <w:sz w:val="32"/>
          <w:szCs w:val="32"/>
        </w:rPr>
        <w:br w:type="column"/>
      </w:r>
      <w:bookmarkStart w:id="1" w:name="_Toc454551064"/>
      <w:bookmarkStart w:id="2" w:name="_Toc427442450"/>
      <w:bookmarkStart w:id="3" w:name="_Hlk150171822"/>
      <w:r>
        <w:rPr>
          <w:rFonts w:hint="eastAsia" w:ascii="宋体" w:hAnsi="宋体"/>
          <w:bCs w:val="0"/>
          <w:i w:val="0"/>
          <w:iCs w:val="0"/>
          <w:color w:val="000000" w:themeColor="text1"/>
          <w:sz w:val="32"/>
          <w:szCs w:val="32"/>
        </w:rPr>
        <w:t>第二章 招标项目需求</w:t>
      </w:r>
      <w:bookmarkEnd w:id="1"/>
      <w:bookmarkEnd w:id="2"/>
    </w:p>
    <w:p>
      <w:pPr>
        <w:spacing w:line="360" w:lineRule="auto"/>
        <w:rPr>
          <w:rFonts w:ascii="宋体"/>
          <w:b/>
          <w:bCs/>
          <w:color w:val="000000" w:themeColor="text1"/>
          <w:sz w:val="24"/>
        </w:rPr>
      </w:pPr>
      <w:r>
        <w:rPr>
          <w:rFonts w:hint="eastAsia" w:ascii="宋体" w:hAnsi="宋体" w:cs="宋体"/>
          <w:b/>
          <w:bCs/>
          <w:color w:val="000000" w:themeColor="text1"/>
          <w:sz w:val="24"/>
        </w:rPr>
        <w:t>一、项目背景</w:t>
      </w:r>
    </w:p>
    <w:p>
      <w:pPr>
        <w:widowControl/>
        <w:spacing w:line="360" w:lineRule="auto"/>
        <w:ind w:left="61" w:leftChars="29" w:right="-540" w:rightChars="-257" w:firstLine="480" w:firstLineChars="200"/>
        <w:jc w:val="left"/>
        <w:rPr>
          <w:rFonts w:ascii="宋体"/>
          <w:color w:val="000000" w:themeColor="text1"/>
          <w:sz w:val="24"/>
        </w:rPr>
      </w:pPr>
      <w:r>
        <w:rPr>
          <w:rFonts w:hint="eastAsia" w:ascii="宋体" w:hAnsi="宋体" w:eastAsia="宋体" w:cs="宋体"/>
          <w:bCs/>
          <w:sz w:val="24"/>
          <w:szCs w:val="24"/>
        </w:rPr>
        <w:t>根据《中华人民共和国</w:t>
      </w:r>
      <w:r>
        <w:rPr>
          <w:rFonts w:hint="eastAsia" w:ascii="宋体" w:hAnsi="宋体" w:eastAsia="宋体" w:cs="宋体"/>
          <w:bCs/>
          <w:sz w:val="24"/>
          <w:szCs w:val="24"/>
          <w:lang w:val="en-US" w:eastAsia="zh-CN"/>
        </w:rPr>
        <w:t>民法典</w:t>
      </w:r>
      <w:r>
        <w:rPr>
          <w:rFonts w:hint="eastAsia" w:ascii="宋体" w:hAnsi="宋体" w:eastAsia="宋体" w:cs="宋体"/>
          <w:bCs/>
          <w:sz w:val="24"/>
          <w:szCs w:val="24"/>
        </w:rPr>
        <w:t>》、《中共浙江省委办公厅、浙江省人民政府办公厅印发&lt;关于防止领导干部在公款存放方面发生利益冲突和利益输送的办法&gt;的通知》(浙委办发[2015]8 号)</w:t>
      </w:r>
      <w:r>
        <w:rPr>
          <w:rFonts w:hint="eastAsia" w:ascii="宋体" w:hAnsi="宋体" w:eastAsia="宋体" w:cs="宋体"/>
          <w:bCs/>
          <w:sz w:val="24"/>
          <w:szCs w:val="24"/>
          <w:lang w:eastAsia="zh-CN"/>
        </w:rPr>
        <w:t>，</w:t>
      </w:r>
      <w:r>
        <w:rPr>
          <w:rFonts w:hint="eastAsia" w:ascii="宋体" w:hAnsi="宋体" w:eastAsia="宋体" w:cs="宋体"/>
          <w:bCs/>
          <w:sz w:val="24"/>
          <w:szCs w:val="24"/>
        </w:rPr>
        <w:t>《建德市财政局关于印发建德市市级行政事业单位公款竞争性存放管理办法的通知》有关规定</w:t>
      </w:r>
      <w:r>
        <w:rPr>
          <w:rFonts w:hint="eastAsia" w:ascii="宋体" w:hAnsi="宋体" w:cs="宋体"/>
          <w:color w:val="000000" w:themeColor="text1"/>
          <w:sz w:val="24"/>
        </w:rPr>
        <w:t>，特对</w:t>
      </w:r>
      <w:r>
        <w:rPr>
          <w:rFonts w:hint="eastAsia" w:ascii="宋体" w:hAnsi="宋体" w:cs="宋体"/>
          <w:color w:val="000000" w:themeColor="text1"/>
          <w:sz w:val="24"/>
          <w:u w:val="single"/>
          <w:lang w:eastAsia="zh-CN"/>
        </w:rPr>
        <w:t>建德市规划和自然资源局土地出让交易保证金账户开户银行项目</w:t>
      </w:r>
      <w:r>
        <w:rPr>
          <w:rFonts w:hint="eastAsia" w:ascii="宋体" w:hAnsi="宋体" w:cs="宋体"/>
          <w:color w:val="000000" w:themeColor="text1"/>
          <w:sz w:val="24"/>
        </w:rPr>
        <w:t>进行公开招标。</w:t>
      </w:r>
    </w:p>
    <w:p>
      <w:pPr>
        <w:widowControl/>
        <w:spacing w:line="360" w:lineRule="auto"/>
        <w:ind w:right="-540" w:rightChars="-257"/>
        <w:jc w:val="left"/>
        <w:rPr>
          <w:rFonts w:ascii="宋体"/>
          <w:color w:val="000000" w:themeColor="text1"/>
          <w:sz w:val="24"/>
        </w:rPr>
      </w:pPr>
      <w:r>
        <w:rPr>
          <w:rFonts w:hint="eastAsia" w:ascii="宋体" w:hAnsi="宋体" w:cs="宋体"/>
          <w:b/>
          <w:bCs/>
          <w:color w:val="000000" w:themeColor="text1"/>
          <w:sz w:val="24"/>
        </w:rPr>
        <w:t>二、招标需求</w:t>
      </w:r>
    </w:p>
    <w:p>
      <w:pPr>
        <w:spacing w:line="360" w:lineRule="auto"/>
        <w:ind w:firstLine="480" w:firstLineChars="200"/>
        <w:jc w:val="left"/>
        <w:rPr>
          <w:rFonts w:ascii="宋体" w:hAnsi="宋体"/>
          <w:color w:val="000000" w:themeColor="text1"/>
          <w:sz w:val="24"/>
        </w:rPr>
      </w:pPr>
      <w:r>
        <w:rPr>
          <w:rFonts w:hint="eastAsia" w:ascii="宋体" w:hAnsi="宋体" w:cs="宋体"/>
          <w:sz w:val="24"/>
          <w:lang w:val="en-US" w:eastAsia="zh-CN"/>
        </w:rPr>
        <w:t>选择5</w:t>
      </w:r>
      <w:r>
        <w:rPr>
          <w:rFonts w:hint="eastAsia" w:ascii="宋体" w:hAnsi="宋体" w:cs="宋体"/>
          <w:sz w:val="24"/>
        </w:rPr>
        <w:t>家合格的银行管理土地出让交易保证金</w:t>
      </w:r>
      <w:r>
        <w:rPr>
          <w:rFonts w:hint="eastAsia" w:ascii="宋体" w:hAnsi="宋体"/>
          <w:color w:val="000000" w:themeColor="text1"/>
          <w:sz w:val="24"/>
        </w:rPr>
        <w:t>。</w:t>
      </w:r>
      <w:r>
        <w:rPr>
          <w:rFonts w:hint="eastAsia" w:ascii="宋体" w:hAnsi="宋体" w:cs="宋体"/>
          <w:color w:val="000000" w:themeColor="text1"/>
          <w:sz w:val="24"/>
        </w:rPr>
        <w:t>通过公开招标方式，从合格的投标人中择优</w:t>
      </w:r>
      <w:r>
        <w:rPr>
          <w:rFonts w:hint="eastAsia" w:ascii="宋体" w:hAnsi="宋体" w:cs="宋体"/>
          <w:color w:val="000000" w:themeColor="text1"/>
          <w:sz w:val="24"/>
          <w:lang w:val="en-US" w:eastAsia="zh-CN"/>
        </w:rPr>
        <w:t>选择5</w:t>
      </w:r>
      <w:r>
        <w:rPr>
          <w:rFonts w:hint="eastAsia" w:ascii="宋体" w:hAnsi="宋体" w:cs="宋体"/>
          <w:color w:val="000000" w:themeColor="text1"/>
          <w:sz w:val="24"/>
        </w:rPr>
        <w:t>家银</w:t>
      </w:r>
      <w:r>
        <w:rPr>
          <w:rFonts w:hint="eastAsia" w:ascii="宋体" w:hAnsi="宋体"/>
          <w:color w:val="000000" w:themeColor="text1"/>
          <w:sz w:val="24"/>
        </w:rPr>
        <w:t>行</w:t>
      </w:r>
      <w:r>
        <w:rPr>
          <w:rFonts w:hint="eastAsia" w:ascii="宋体" w:hAnsi="宋体" w:cs="宋体"/>
          <w:sz w:val="24"/>
        </w:rPr>
        <w:t>管理土地出让交易保证金。</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服务要求：</w:t>
      </w:r>
    </w:p>
    <w:p>
      <w:pPr>
        <w:spacing w:line="360" w:lineRule="auto"/>
        <w:ind w:firstLine="480" w:firstLineChars="200"/>
        <w:rPr>
          <w:rFonts w:ascii="宋体" w:hAnsi="宋体" w:cs="宋体"/>
          <w:sz w:val="24"/>
        </w:rPr>
      </w:pPr>
      <w:r>
        <w:rPr>
          <w:rFonts w:hint="eastAsia" w:ascii="宋体" w:hAnsi="宋体" w:cs="宋体"/>
          <w:sz w:val="24"/>
        </w:rPr>
        <w:t>1.遵照《浙江省国有建设用地使用权出让网上交易规则的通知》（</w:t>
      </w:r>
      <w:r>
        <w:rPr>
          <w:rFonts w:hint="eastAsia" w:ascii="宋体" w:hAnsi="宋体" w:cs="宋体"/>
          <w:sz w:val="24"/>
          <w:lang w:eastAsia="zh-CN"/>
        </w:rPr>
        <w:t>浙自然资规[2025]16号</w:t>
      </w:r>
      <w:r>
        <w:rPr>
          <w:rFonts w:hint="eastAsia" w:ascii="宋体" w:hAnsi="宋体" w:cs="宋体"/>
          <w:sz w:val="24"/>
        </w:rPr>
        <w:t>），执行办理各项业务。</w:t>
      </w:r>
    </w:p>
    <w:p>
      <w:pPr>
        <w:spacing w:line="360" w:lineRule="auto"/>
        <w:ind w:firstLine="480" w:firstLineChars="200"/>
        <w:rPr>
          <w:rFonts w:ascii="宋体" w:hAnsi="宋体" w:cs="宋体"/>
          <w:sz w:val="24"/>
        </w:rPr>
      </w:pPr>
      <w:r>
        <w:rPr>
          <w:rFonts w:hint="eastAsia" w:ascii="宋体" w:hAnsi="宋体" w:cs="宋体"/>
          <w:sz w:val="24"/>
        </w:rPr>
        <w:t>2.中标单位提供支持省网上交易系统的连接接口和实时支付、信息交换的网络信息软件系统与服务体系。</w:t>
      </w:r>
    </w:p>
    <w:p>
      <w:pPr>
        <w:spacing w:line="360" w:lineRule="auto"/>
        <w:ind w:firstLine="480" w:firstLineChars="200"/>
        <w:rPr>
          <w:rFonts w:ascii="宋体" w:hAnsi="宋体" w:cs="宋体"/>
          <w:sz w:val="24"/>
        </w:rPr>
      </w:pPr>
      <w:r>
        <w:rPr>
          <w:rFonts w:hint="eastAsia" w:ascii="宋体" w:hAnsi="宋体" w:cs="宋体"/>
          <w:sz w:val="24"/>
        </w:rPr>
        <w:t>3.中标单位对竞买申请人提交的足额保证金子账号（竞买申请人在网上交易系统提交竞买申请后，系统自动生成唯一的随机竞买保证金子账号）的金额、时间等信息进行系统确认；</w:t>
      </w:r>
    </w:p>
    <w:p>
      <w:pPr>
        <w:spacing w:line="360" w:lineRule="auto"/>
        <w:ind w:firstLine="480" w:firstLineChars="200"/>
        <w:rPr>
          <w:rFonts w:ascii="宋体" w:hAnsi="宋体" w:cs="宋体"/>
          <w:sz w:val="24"/>
        </w:rPr>
      </w:pPr>
      <w:r>
        <w:rPr>
          <w:rFonts w:hint="eastAsia" w:ascii="宋体" w:hAnsi="宋体" w:cs="宋体"/>
          <w:sz w:val="24"/>
        </w:rPr>
        <w:t>4.对交易存入的资金进行记账、按承诺优惠利率计息。按季提供利息通知单。</w:t>
      </w:r>
    </w:p>
    <w:p>
      <w:pPr>
        <w:spacing w:line="360" w:lineRule="auto"/>
        <w:ind w:firstLine="480" w:firstLineChars="200"/>
        <w:rPr>
          <w:rFonts w:ascii="宋体" w:hAnsi="宋体" w:cs="宋体"/>
          <w:sz w:val="24"/>
        </w:rPr>
      </w:pPr>
      <w:r>
        <w:rPr>
          <w:rFonts w:hint="eastAsia" w:ascii="宋体" w:hAnsi="宋体" w:cs="宋体"/>
          <w:sz w:val="24"/>
        </w:rPr>
        <w:t>5.及时对有效凭证进行入账处理，确保资金及时到账，有退票业务需当天反馈。</w:t>
      </w:r>
    </w:p>
    <w:p>
      <w:pPr>
        <w:spacing w:line="360" w:lineRule="auto"/>
        <w:ind w:firstLine="480" w:firstLineChars="200"/>
        <w:rPr>
          <w:rFonts w:ascii="宋体" w:hAnsi="宋体" w:cs="宋体"/>
          <w:sz w:val="24"/>
        </w:rPr>
      </w:pPr>
      <w:r>
        <w:rPr>
          <w:rFonts w:hint="eastAsia" w:ascii="宋体" w:hAnsi="宋体" w:cs="宋体"/>
          <w:sz w:val="24"/>
        </w:rPr>
        <w:t>6.依法为竞买申请人的账户信息保密。</w:t>
      </w:r>
    </w:p>
    <w:p>
      <w:pPr>
        <w:spacing w:line="360" w:lineRule="auto"/>
        <w:ind w:firstLine="480" w:firstLineChars="200"/>
        <w:rPr>
          <w:rFonts w:ascii="宋体" w:hAnsi="宋体" w:cs="宋体"/>
          <w:sz w:val="24"/>
        </w:rPr>
      </w:pPr>
      <w:r>
        <w:rPr>
          <w:rFonts w:hint="eastAsia" w:ascii="宋体" w:hAnsi="宋体" w:cs="宋体"/>
          <w:sz w:val="24"/>
        </w:rPr>
        <w:t>7.免收账户各项业务手续费。</w:t>
      </w:r>
    </w:p>
    <w:p>
      <w:pPr>
        <w:spacing w:line="360" w:lineRule="auto"/>
        <w:ind w:firstLine="480" w:firstLineChars="200"/>
        <w:rPr>
          <w:rFonts w:ascii="宋体" w:hAnsi="宋体" w:cs="宋体"/>
          <w:sz w:val="24"/>
        </w:rPr>
      </w:pPr>
      <w:r>
        <w:rPr>
          <w:rFonts w:hint="eastAsia" w:ascii="宋体" w:hAnsi="宋体" w:cs="宋体"/>
          <w:sz w:val="24"/>
        </w:rPr>
        <w:t>8.在资金存放期间遇国家利率调整时，中标银行应按规定及时调整，且中标上浮率不变。</w:t>
      </w:r>
    </w:p>
    <w:p>
      <w:pPr>
        <w:spacing w:line="360" w:lineRule="auto"/>
        <w:ind w:firstLine="480" w:firstLineChars="200"/>
        <w:rPr>
          <w:rFonts w:ascii="宋体"/>
          <w:color w:val="000000" w:themeColor="text1"/>
          <w:sz w:val="24"/>
        </w:rPr>
      </w:pPr>
      <w:r>
        <w:rPr>
          <w:rFonts w:hint="eastAsia" w:ascii="宋体" w:hAnsi="宋体" w:cs="宋体"/>
          <w:sz w:val="24"/>
        </w:rPr>
        <w:t>9.如遇政策变化等原因，招标方需提前支取的，中标方应无条件配合。</w:t>
      </w:r>
    </w:p>
    <w:p>
      <w:pPr>
        <w:widowControl/>
        <w:spacing w:line="360" w:lineRule="auto"/>
        <w:ind w:left="61" w:leftChars="29" w:right="-540" w:rightChars="-257" w:firstLine="480" w:firstLineChars="200"/>
        <w:jc w:val="left"/>
        <w:rPr>
          <w:rFonts w:ascii="宋体"/>
          <w:color w:val="000000" w:themeColor="text1"/>
          <w:sz w:val="24"/>
        </w:rPr>
      </w:pPr>
      <w:r>
        <w:rPr>
          <w:rFonts w:hint="eastAsia" w:ascii="宋体" w:hAnsi="宋体" w:cs="宋体"/>
          <w:color w:val="000000" w:themeColor="text1"/>
          <w:sz w:val="24"/>
        </w:rPr>
        <w:t>（三）其他服务要求：</w:t>
      </w:r>
    </w:p>
    <w:p>
      <w:pPr>
        <w:widowControl/>
        <w:spacing w:line="360" w:lineRule="auto"/>
        <w:ind w:left="61" w:leftChars="29" w:right="-540" w:rightChars="-257" w:firstLine="480" w:firstLineChars="200"/>
        <w:jc w:val="left"/>
        <w:rPr>
          <w:rFonts w:ascii="宋体"/>
          <w:color w:val="000000" w:themeColor="text1"/>
          <w:sz w:val="24"/>
        </w:rPr>
      </w:pPr>
      <w:r>
        <w:rPr>
          <w:rFonts w:hint="eastAsia" w:ascii="宋体" w:hAnsi="宋体" w:cs="宋体"/>
          <w:color w:val="000000" w:themeColor="text1"/>
          <w:sz w:val="24"/>
        </w:rPr>
        <w:t>1、银行故障或招标人工作遇到疑问时，投标人应该能够</w:t>
      </w:r>
      <w:r>
        <w:rPr>
          <w:rFonts w:ascii="宋体" w:hAnsi="宋体" w:cs="宋体"/>
          <w:color w:val="000000" w:themeColor="text1"/>
          <w:sz w:val="24"/>
        </w:rPr>
        <w:t>30</w:t>
      </w:r>
      <w:r>
        <w:rPr>
          <w:rFonts w:hint="eastAsia" w:ascii="宋体" w:hAnsi="宋体" w:cs="宋体"/>
          <w:color w:val="000000" w:themeColor="text1"/>
          <w:sz w:val="24"/>
        </w:rPr>
        <w:t>分钟内及时响应招标人疑问或维修要求，并在</w:t>
      </w:r>
      <w:r>
        <w:rPr>
          <w:rFonts w:ascii="宋体" w:hAnsi="宋体" w:cs="宋体"/>
          <w:color w:val="000000" w:themeColor="text1"/>
          <w:sz w:val="24"/>
        </w:rPr>
        <w:t>2</w:t>
      </w:r>
      <w:r>
        <w:rPr>
          <w:rFonts w:hint="eastAsia" w:ascii="宋体" w:hAnsi="宋体" w:cs="宋体"/>
          <w:color w:val="000000" w:themeColor="text1"/>
          <w:sz w:val="24"/>
        </w:rPr>
        <w:t>小时内提出解决方案，</w:t>
      </w:r>
      <w:r>
        <w:rPr>
          <w:rFonts w:ascii="宋体" w:hAnsi="宋体" w:cs="宋体"/>
          <w:color w:val="000000" w:themeColor="text1"/>
          <w:sz w:val="24"/>
        </w:rPr>
        <w:t>24</w:t>
      </w:r>
      <w:r>
        <w:rPr>
          <w:rFonts w:hint="eastAsia" w:ascii="宋体" w:hAnsi="宋体" w:cs="宋体"/>
          <w:color w:val="000000" w:themeColor="text1"/>
          <w:sz w:val="24"/>
        </w:rPr>
        <w:t>小时内解决问题；</w:t>
      </w:r>
    </w:p>
    <w:p>
      <w:pPr>
        <w:widowControl/>
        <w:spacing w:line="360" w:lineRule="auto"/>
        <w:ind w:left="61" w:leftChars="29" w:right="-540" w:rightChars="-257" w:firstLine="480" w:firstLineChars="200"/>
        <w:jc w:val="left"/>
        <w:rPr>
          <w:rFonts w:ascii="宋体" w:hAnsi="宋体" w:cs="宋体"/>
          <w:b/>
          <w:bCs/>
          <w:color w:val="000000" w:themeColor="text1"/>
          <w:sz w:val="24"/>
        </w:rPr>
      </w:pPr>
      <w:r>
        <w:rPr>
          <w:rFonts w:hint="eastAsia" w:ascii="宋体" w:hAnsi="宋体" w:cs="宋体"/>
          <w:color w:val="000000" w:themeColor="text1"/>
          <w:sz w:val="24"/>
        </w:rPr>
        <w:t>▲</w:t>
      </w:r>
      <w:r>
        <w:rPr>
          <w:rFonts w:hint="eastAsia" w:ascii="宋体" w:hAnsi="宋体" w:cs="宋体"/>
          <w:b/>
          <w:bCs/>
          <w:color w:val="000000" w:themeColor="text1"/>
          <w:sz w:val="24"/>
        </w:rPr>
        <w:t>2、有关费用减免、利率加点等承诺应有总行或建德市分行及以上具有该权限的机构出具承诺。</w:t>
      </w:r>
    </w:p>
    <w:p>
      <w:pPr>
        <w:spacing w:line="360" w:lineRule="auto"/>
        <w:ind w:firstLine="480" w:firstLineChars="200"/>
        <w:rPr>
          <w:rFonts w:ascii="宋体"/>
          <w:b/>
          <w:bCs/>
          <w:color w:val="000000" w:themeColor="text1"/>
          <w:sz w:val="24"/>
        </w:rPr>
      </w:pPr>
      <w:r>
        <w:rPr>
          <w:rFonts w:hint="eastAsia" w:ascii="宋体" w:hAnsi="宋体" w:cs="宋体"/>
          <w:color w:val="000000" w:themeColor="text1"/>
          <w:sz w:val="24"/>
          <w:highlight w:val="yellow"/>
        </w:rPr>
        <w:t>▲</w:t>
      </w:r>
      <w:r>
        <w:rPr>
          <w:rFonts w:hint="eastAsia" w:ascii="宋体" w:hAnsi="宋体" w:cs="宋体"/>
          <w:b/>
          <w:bCs/>
          <w:color w:val="000000" w:themeColor="text1"/>
          <w:sz w:val="24"/>
          <w:highlight w:val="yellow"/>
        </w:rPr>
        <w:t>3、投标人在投标方案中应明确具体账户开立服务网点。</w:t>
      </w:r>
    </w:p>
    <w:p>
      <w:pPr>
        <w:widowControl/>
        <w:spacing w:line="360" w:lineRule="auto"/>
        <w:ind w:left="61" w:leftChars="29" w:right="-540" w:rightChars="-257"/>
        <w:jc w:val="left"/>
        <w:rPr>
          <w:rFonts w:ascii="宋体"/>
          <w:b/>
          <w:bCs/>
          <w:color w:val="000000" w:themeColor="text1"/>
          <w:sz w:val="24"/>
          <w:highlight w:val="yellow"/>
        </w:rPr>
      </w:pPr>
      <w:r>
        <w:rPr>
          <w:rFonts w:hint="eastAsia" w:ascii="宋体" w:hAnsi="宋体" w:cs="宋体"/>
          <w:b/>
          <w:bCs/>
          <w:color w:val="000000" w:themeColor="text1"/>
          <w:sz w:val="24"/>
          <w:highlight w:val="yellow"/>
        </w:rPr>
        <w:t>三、服务期限：</w:t>
      </w:r>
    </w:p>
    <w:p>
      <w:pPr>
        <w:spacing w:line="360" w:lineRule="auto"/>
        <w:ind w:firstLine="480" w:firstLineChars="200"/>
        <w:jc w:val="left"/>
        <w:rPr>
          <w:rFonts w:ascii="宋体"/>
          <w:color w:val="000000" w:themeColor="text1"/>
          <w:sz w:val="24"/>
        </w:rPr>
      </w:pPr>
      <w:r>
        <w:rPr>
          <w:rFonts w:hint="eastAsia" w:ascii="宋体" w:hAnsi="宋体" w:cs="宋体"/>
          <w:color w:val="000000" w:themeColor="text1"/>
          <w:sz w:val="24"/>
        </w:rPr>
        <w:t>本项目</w:t>
      </w:r>
      <w:r>
        <w:rPr>
          <w:rFonts w:hint="eastAsia" w:ascii="宋体" w:hAnsi="宋体" w:cs="宋体"/>
          <w:color w:val="000000" w:themeColor="text1"/>
          <w:sz w:val="24"/>
          <w:lang w:val="en-US" w:eastAsia="zh-CN"/>
        </w:rPr>
        <w:t>开户</w:t>
      </w:r>
      <w:r>
        <w:rPr>
          <w:rFonts w:hint="eastAsia" w:ascii="宋体" w:hAnsi="宋体" w:cs="宋体"/>
          <w:color w:val="000000" w:themeColor="text1"/>
          <w:sz w:val="24"/>
        </w:rPr>
        <w:t>期为</w:t>
      </w:r>
      <w:r>
        <w:rPr>
          <w:rFonts w:hint="eastAsia" w:ascii="宋体" w:hAnsi="宋体" w:cs="宋体"/>
          <w:color w:val="000000" w:themeColor="text1"/>
          <w:sz w:val="24"/>
          <w:highlight w:val="none"/>
          <w:lang w:val="en-US" w:eastAsia="zh-CN"/>
        </w:rPr>
        <w:t>五年</w:t>
      </w: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lang w:val="en-US" w:eastAsia="zh-CN"/>
        </w:rPr>
        <w:t>开户协议</w:t>
      </w:r>
      <w:r>
        <w:rPr>
          <w:rFonts w:hint="eastAsia" w:ascii="宋体" w:hAnsi="宋体" w:cs="宋体"/>
          <w:color w:val="000000" w:themeColor="text1"/>
          <w:sz w:val="24"/>
          <w:highlight w:val="none"/>
        </w:rPr>
        <w:t>到期后，招标人可根据开户协议对原中标银行进行考核，考核合格可续签开户协议，但续签协议期限不超过</w:t>
      </w:r>
      <w:r>
        <w:rPr>
          <w:rFonts w:hint="eastAsia" w:ascii="宋体" w:hAnsi="宋体" w:cs="宋体"/>
          <w:color w:val="000000" w:themeColor="text1"/>
          <w:sz w:val="24"/>
          <w:highlight w:val="none"/>
          <w:lang w:val="en-US" w:eastAsia="zh-CN"/>
        </w:rPr>
        <w:t>三</w:t>
      </w:r>
      <w:r>
        <w:rPr>
          <w:rFonts w:hint="eastAsia" w:ascii="宋体" w:hAnsi="宋体" w:cs="宋体"/>
          <w:color w:val="000000" w:themeColor="text1"/>
          <w:sz w:val="24"/>
          <w:highlight w:val="none"/>
        </w:rPr>
        <w:t>年。</w:t>
      </w:r>
      <w:r>
        <w:rPr>
          <w:rFonts w:hint="eastAsia" w:ascii="宋体" w:hAnsi="宋体" w:cs="宋体"/>
          <w:color w:val="000000" w:themeColor="text1"/>
          <w:sz w:val="24"/>
        </w:rPr>
        <w:t>如果服务不能达到招标要求和投标承诺的，或国家另有规定的，以及招标人</w:t>
      </w:r>
      <w:r>
        <w:rPr>
          <w:rFonts w:hint="eastAsia" w:ascii="宋体" w:hAnsi="宋体" w:cs="宋体"/>
          <w:color w:val="000000" w:themeColor="text1"/>
          <w:kern w:val="0"/>
          <w:sz w:val="24"/>
        </w:rPr>
        <w:t>因机构改革、上级政策规定等原因，</w:t>
      </w:r>
      <w:r>
        <w:rPr>
          <w:rFonts w:hint="eastAsia" w:ascii="宋体" w:hAnsi="宋体" w:cs="宋体"/>
          <w:color w:val="000000" w:themeColor="text1"/>
          <w:sz w:val="24"/>
        </w:rPr>
        <w:t>招标人有权终止协议。</w:t>
      </w:r>
    </w:p>
    <w:p>
      <w:pPr>
        <w:numPr>
          <w:ilvl w:val="0"/>
          <w:numId w:val="2"/>
        </w:numPr>
        <w:autoSpaceDE w:val="0"/>
        <w:autoSpaceDN w:val="0"/>
        <w:snapToGrid w:val="0"/>
        <w:spacing w:line="360" w:lineRule="auto"/>
        <w:jc w:val="left"/>
        <w:textAlignment w:val="bottom"/>
        <w:rPr>
          <w:rFonts w:ascii="宋体" w:hAnsi="宋体" w:cs="宋体"/>
          <w:b/>
          <w:bCs/>
          <w:color w:val="000000" w:themeColor="text1"/>
          <w:sz w:val="24"/>
        </w:rPr>
      </w:pPr>
      <w:r>
        <w:rPr>
          <w:rFonts w:hint="eastAsia" w:ascii="宋体" w:hAnsi="宋体" w:cs="宋体"/>
          <w:b/>
          <w:bCs/>
          <w:color w:val="000000" w:themeColor="text1"/>
          <w:sz w:val="24"/>
        </w:rPr>
        <w:t>单位账户开户原则</w:t>
      </w:r>
    </w:p>
    <w:p>
      <w:pPr>
        <w:autoSpaceDE w:val="0"/>
        <w:autoSpaceDN w:val="0"/>
        <w:snapToGrid w:val="0"/>
        <w:spacing w:line="360" w:lineRule="auto"/>
        <w:ind w:firstLine="482" w:firstLineChars="200"/>
        <w:jc w:val="left"/>
        <w:textAlignment w:val="bottom"/>
        <w:rPr>
          <w:rFonts w:ascii="宋体" w:hAnsi="宋体" w:cs="宋体"/>
          <w:b/>
          <w:bCs/>
          <w:color w:val="000000" w:themeColor="text1"/>
          <w:sz w:val="24"/>
        </w:rPr>
      </w:pPr>
      <w:r>
        <w:rPr>
          <w:rFonts w:hint="eastAsia" w:ascii="宋体" w:hAnsi="宋体" w:cs="宋体"/>
          <w:b/>
          <w:bCs/>
          <w:color w:val="000000" w:themeColor="text1"/>
          <w:sz w:val="24"/>
        </w:rPr>
        <w:t>本次招标为账户招标，中标账户存款具体金额并不固定，投标人须接受采购人资金额度的变化。</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账户开户应按以下原则进行：</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（1）账户开户坚持公开、公平、公正原则，防范廉政风险；</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（2）坚持安全性、流动性、收益性相统一。在确保资金安全和资金支付流动性需求基础上，实现资金保值增值；</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（3）坚持突出重点、兼顾效率原则；</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（4）利率加点应符合国家有关利率管理规定，同时参考当地金融机构市场利率定价自律机制。账户开户按照银行有关规定执行。</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有以下情形之一的，招标人有权取消该银行本次账户开户资格，视情形提前收回银行账户:</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（1）银行在招标或资金存放期间出现资金安全事故和重大违规违约行为的；</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（2）人行、银监等金融监管部门认为该银行存在较大运营风险的；</w:t>
      </w:r>
    </w:p>
    <w:p>
      <w:pPr>
        <w:widowControl/>
        <w:spacing w:line="360" w:lineRule="auto"/>
        <w:ind w:right="-540" w:rightChars="-257" w:firstLine="480" w:firstLineChars="200"/>
        <w:jc w:val="left"/>
        <w:rPr>
          <w:rFonts w:ascii="宋体" w:hAnsi="宋体" w:cs="宋体"/>
          <w:color w:val="000000" w:themeColor="text1"/>
          <w:sz w:val="24"/>
        </w:rPr>
      </w:pPr>
      <w:r>
        <w:rPr>
          <w:rFonts w:hint="eastAsia" w:ascii="宋体" w:hAnsi="宋体" w:cs="宋体"/>
          <w:color w:val="000000" w:themeColor="text1"/>
          <w:sz w:val="24"/>
        </w:rPr>
        <w:t>（3）未在定期存款到期日结算本息并划转至指定账户的。</w:t>
      </w:r>
    </w:p>
    <w:p>
      <w:pPr>
        <w:widowControl/>
        <w:spacing w:line="360" w:lineRule="auto"/>
        <w:ind w:right="-540" w:rightChars="-257" w:firstLine="480" w:firstLineChars="200"/>
        <w:jc w:val="left"/>
        <w:rPr>
          <w:rFonts w:ascii="宋体" w:hAnsi="宋体" w:cs="宋体"/>
          <w:color w:val="000000" w:themeColor="text1"/>
          <w:sz w:val="24"/>
        </w:rPr>
      </w:pPr>
    </w:p>
    <w:p>
      <w:pPr>
        <w:widowControl/>
        <w:spacing w:line="360" w:lineRule="auto"/>
        <w:ind w:left="61" w:leftChars="29" w:right="-540" w:rightChars="-257" w:firstLine="560" w:firstLineChars="200"/>
        <w:jc w:val="left"/>
        <w:rPr>
          <w:rFonts w:ascii="宋体" w:hAnsi="宋体"/>
          <w:color w:val="000000" w:themeColor="text1"/>
          <w:sz w:val="28"/>
          <w:szCs w:val="28"/>
        </w:rPr>
      </w:pPr>
    </w:p>
    <w:bookmarkEnd w:id="3"/>
    <w:p>
      <w:pPr>
        <w:widowControl/>
        <w:spacing w:line="360" w:lineRule="auto"/>
        <w:ind w:left="61" w:leftChars="29" w:right="-540" w:rightChars="-257" w:firstLine="560" w:firstLineChars="200"/>
        <w:jc w:val="left"/>
        <w:rPr>
          <w:rFonts w:ascii="宋体" w:hAnsi="宋体"/>
          <w:color w:val="000000" w:themeColor="text1"/>
          <w:sz w:val="28"/>
          <w:szCs w:val="28"/>
        </w:rPr>
      </w:pPr>
    </w:p>
    <w:p>
      <w:pPr>
        <w:widowControl/>
        <w:spacing w:line="360" w:lineRule="auto"/>
        <w:ind w:left="61" w:leftChars="29" w:right="-540" w:rightChars="-257" w:firstLine="480" w:firstLineChars="200"/>
        <w:jc w:val="left"/>
        <w:rPr>
          <w:rFonts w:ascii="宋体" w:hAnsi="宋体"/>
          <w:color w:val="000000" w:themeColor="text1"/>
          <w:sz w:val="24"/>
        </w:rPr>
        <w:sectPr>
          <w:footerReference r:id="rId7" w:type="default"/>
          <w:pgSz w:w="11906" w:h="16838"/>
          <w:pgMar w:top="1440" w:right="1469" w:bottom="1440" w:left="1797" w:header="851" w:footer="992" w:gutter="0"/>
          <w:pgNumType w:start="1"/>
          <w:cols w:space="720" w:num="1"/>
          <w:docGrid w:linePitch="312" w:charSpace="0"/>
        </w:sectPr>
      </w:pPr>
    </w:p>
    <w:p>
      <w:pPr>
        <w:widowControl/>
        <w:spacing w:line="360" w:lineRule="auto"/>
        <w:ind w:right="-540" w:rightChars="-257"/>
        <w:jc w:val="center"/>
        <w:rPr>
          <w:rFonts w:ascii="宋体" w:hAnsi="宋体" w:cs="宋体"/>
          <w:b/>
          <w:bCs/>
          <w:color w:val="000000" w:themeColor="text1"/>
          <w:sz w:val="32"/>
          <w:szCs w:val="32"/>
        </w:rPr>
      </w:pPr>
      <w:bookmarkStart w:id="4" w:name="_Toc429406698"/>
      <w:bookmarkStart w:id="5" w:name="_Toc454551065"/>
      <w:r>
        <w:rPr>
          <w:rFonts w:hint="eastAsia" w:ascii="宋体" w:hAnsi="宋体" w:cs="宋体"/>
          <w:b/>
          <w:bCs/>
          <w:color w:val="000000" w:themeColor="text1"/>
          <w:sz w:val="32"/>
          <w:szCs w:val="32"/>
        </w:rPr>
        <w:t>第三章  投标人资料表</w:t>
      </w:r>
      <w:bookmarkEnd w:id="4"/>
      <w:bookmarkEnd w:id="5"/>
    </w:p>
    <w:p>
      <w:pPr>
        <w:widowControl/>
        <w:spacing w:line="360" w:lineRule="auto"/>
        <w:ind w:right="-540" w:rightChars="-257"/>
        <w:jc w:val="center"/>
        <w:rPr>
          <w:rFonts w:ascii="宋体" w:hAnsi="宋体" w:cs="宋体"/>
          <w:b/>
          <w:bCs/>
          <w:color w:val="000000" w:themeColor="text1"/>
          <w:sz w:val="32"/>
          <w:szCs w:val="32"/>
        </w:rPr>
      </w:pPr>
      <w:bookmarkStart w:id="6" w:name="_Toc427442449"/>
      <w:bookmarkStart w:id="7" w:name="_Toc444597088"/>
      <w:bookmarkStart w:id="8" w:name="_Toc454551066"/>
      <w:bookmarkStart w:id="9" w:name="_Toc429406700"/>
      <w:bookmarkStart w:id="10" w:name="_Toc436314537"/>
      <w:r>
        <w:rPr>
          <w:rFonts w:hint="eastAsia" w:ascii="宋体" w:hAnsi="宋体" w:cs="宋体"/>
          <w:b/>
          <w:bCs/>
          <w:color w:val="000000" w:themeColor="text1"/>
          <w:sz w:val="32"/>
          <w:szCs w:val="32"/>
        </w:rPr>
        <w:t>第一部分</w:t>
      </w:r>
      <w:bookmarkStart w:id="11" w:name="_Toc249866750"/>
      <w:bookmarkStart w:id="12" w:name="_Toc259108308"/>
      <w:bookmarkStart w:id="13" w:name="_Toc355117095"/>
      <w:r>
        <w:rPr>
          <w:rFonts w:hint="eastAsia" w:ascii="宋体" w:hAnsi="宋体" w:cs="宋体"/>
          <w:b/>
          <w:bCs/>
          <w:color w:val="000000" w:themeColor="text1"/>
          <w:sz w:val="32"/>
          <w:szCs w:val="32"/>
        </w:rPr>
        <w:t xml:space="preserve">  前附表</w:t>
      </w:r>
      <w:bookmarkEnd w:id="6"/>
      <w:bookmarkEnd w:id="7"/>
      <w:bookmarkEnd w:id="8"/>
      <w:bookmarkEnd w:id="9"/>
      <w:bookmarkEnd w:id="10"/>
      <w:bookmarkEnd w:id="11"/>
      <w:bookmarkEnd w:id="12"/>
      <w:bookmarkEnd w:id="13"/>
    </w:p>
    <w:tbl>
      <w:tblPr>
        <w:tblStyle w:val="32"/>
        <w:tblW w:w="94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b/>
                <w:bCs/>
                <w:color w:val="000000" w:themeColor="text1"/>
                <w:sz w:val="24"/>
              </w:rPr>
            </w:pPr>
            <w:r>
              <w:rPr>
                <w:rFonts w:hint="eastAsia" w:ascii="宋体" w:hAnsi="宋体" w:cs="宋体"/>
                <w:b/>
                <w:bCs/>
                <w:color w:val="000000" w:themeColor="text1"/>
                <w:sz w:val="24"/>
              </w:rPr>
              <w:t>序号</w:t>
            </w:r>
          </w:p>
        </w:tc>
        <w:tc>
          <w:tcPr>
            <w:tcW w:w="8599" w:type="dxa"/>
            <w:tcBorders>
              <w:top w:val="single" w:color="auto" w:sz="4" w:space="0"/>
              <w:left w:val="single" w:color="auto" w:sz="4" w:space="0"/>
              <w:bottom w:val="single" w:color="auto" w:sz="4" w:space="0"/>
            </w:tcBorders>
            <w:vAlign w:val="center"/>
          </w:tcPr>
          <w:p>
            <w:pPr>
              <w:snapToGrid w:val="0"/>
              <w:spacing w:line="360" w:lineRule="auto"/>
              <w:jc w:val="center"/>
              <w:rPr>
                <w:rFonts w:ascii="宋体"/>
                <w:b/>
                <w:bCs/>
                <w:color w:val="000000" w:themeColor="text1"/>
                <w:sz w:val="24"/>
              </w:rPr>
            </w:pPr>
            <w:r>
              <w:rPr>
                <w:rFonts w:hint="eastAsia" w:ascii="宋体" w:hAnsi="宋体" w:cs="宋体"/>
                <w:b/>
                <w:bCs/>
                <w:color w:val="000000" w:themeColor="text1"/>
                <w:sz w:val="24"/>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1</w:t>
            </w:r>
          </w:p>
        </w:tc>
        <w:tc>
          <w:tcPr>
            <w:tcW w:w="8599" w:type="dxa"/>
            <w:tcBorders>
              <w:top w:val="single" w:color="auto" w:sz="4" w:space="0"/>
              <w:left w:val="single" w:color="auto" w:sz="4" w:space="0"/>
              <w:bottom w:val="single" w:color="auto" w:sz="4" w:space="0"/>
            </w:tcBorders>
            <w:vAlign w:val="center"/>
          </w:tcPr>
          <w:p>
            <w:pPr>
              <w:widowControl/>
              <w:spacing w:line="360" w:lineRule="auto"/>
              <w:ind w:right="62"/>
              <w:jc w:val="left"/>
              <w:rPr>
                <w:rFonts w:hint="eastAsia" w:ascii="宋体" w:eastAsia="宋体"/>
                <w:b/>
                <w:bCs/>
                <w:color w:val="000000" w:themeColor="text1"/>
                <w:sz w:val="24"/>
                <w:lang w:eastAsia="zh-CN"/>
              </w:rPr>
            </w:pPr>
            <w:r>
              <w:rPr>
                <w:rFonts w:hint="eastAsia" w:ascii="宋体" w:hAnsi="宋体" w:cs="宋体"/>
                <w:b/>
                <w:bCs/>
                <w:color w:val="000000" w:themeColor="text1"/>
                <w:sz w:val="24"/>
              </w:rPr>
              <w:t>项目名称：</w:t>
            </w:r>
            <w:r>
              <w:rPr>
                <w:rFonts w:hint="eastAsia" w:ascii="宋体" w:hAnsi="宋体" w:cs="宋体"/>
                <w:color w:val="000000" w:themeColor="text1"/>
                <w:sz w:val="24"/>
                <w:u w:val="single"/>
                <w:lang w:eastAsia="zh-CN"/>
              </w:rPr>
              <w:t>建德市规划和自然资源局土地出让交易保证金账户开户银行项目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2</w:t>
            </w:r>
          </w:p>
        </w:tc>
        <w:tc>
          <w:tcPr>
            <w:tcW w:w="859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themeColor="text1"/>
                <w:sz w:val="24"/>
              </w:rPr>
            </w:pPr>
            <w:r>
              <w:rPr>
                <w:rFonts w:hint="eastAsia" w:ascii="宋体" w:hAnsi="宋体" w:cs="宋体"/>
                <w:b/>
                <w:bCs/>
                <w:color w:val="000000" w:themeColor="text1"/>
                <w:sz w:val="24"/>
              </w:rPr>
              <w:t>招标内容：</w:t>
            </w:r>
            <w:r>
              <w:rPr>
                <w:rFonts w:hint="eastAsia" w:ascii="宋体" w:hAnsi="宋体" w:cs="宋体"/>
                <w:sz w:val="24"/>
                <w:lang w:val="en-US" w:eastAsia="zh-CN"/>
              </w:rPr>
              <w:t>选择</w:t>
            </w:r>
            <w:r>
              <w:rPr>
                <w:rFonts w:hint="eastAsia" w:ascii="宋体" w:hAnsi="宋体" w:cs="宋体"/>
                <w:sz w:val="24"/>
              </w:rPr>
              <w:t>合格的银行管理土地出让交易保证金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3</w:t>
            </w:r>
          </w:p>
        </w:tc>
        <w:tc>
          <w:tcPr>
            <w:tcW w:w="8599" w:type="dxa"/>
            <w:tcBorders>
              <w:top w:val="single" w:color="auto" w:sz="4" w:space="0"/>
              <w:left w:val="single" w:color="auto" w:sz="4" w:space="0"/>
              <w:bottom w:val="single" w:color="auto" w:sz="4" w:space="0"/>
            </w:tcBorders>
            <w:vAlign w:val="center"/>
          </w:tcPr>
          <w:p>
            <w:pPr>
              <w:snapToGrid w:val="0"/>
              <w:spacing w:line="360" w:lineRule="auto"/>
              <w:rPr>
                <w:rFonts w:ascii="宋体" w:hAnsi="宋体" w:cs="宋体"/>
                <w:b/>
                <w:bCs/>
                <w:color w:val="000000" w:themeColor="text1"/>
                <w:sz w:val="24"/>
              </w:rPr>
            </w:pPr>
            <w:r>
              <w:rPr>
                <w:rFonts w:hint="eastAsia" w:ascii="宋体" w:hAnsi="宋体" w:cs="宋体"/>
                <w:b/>
                <w:bCs/>
                <w:color w:val="000000" w:themeColor="text1"/>
                <w:sz w:val="24"/>
              </w:rPr>
              <w:t>中标数量：</w:t>
            </w:r>
            <w:r>
              <w:rPr>
                <w:rFonts w:hint="eastAsia" w:ascii="宋体" w:hAnsi="宋体" w:cs="宋体"/>
                <w:b/>
                <w:bCs/>
                <w:color w:val="000000" w:themeColor="text1"/>
                <w:sz w:val="24"/>
                <w:lang w:val="en-US" w:eastAsia="zh-CN"/>
              </w:rPr>
              <w:t>五</w:t>
            </w:r>
            <w:r>
              <w:rPr>
                <w:rFonts w:hint="eastAsia" w:ascii="宋体" w:hAnsi="宋体" w:cs="宋体"/>
                <w:b/>
                <w:bCs/>
                <w:color w:val="000000" w:themeColor="text1"/>
                <w:sz w:val="24"/>
              </w:rPr>
              <w:t>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4</w:t>
            </w:r>
          </w:p>
        </w:tc>
        <w:tc>
          <w:tcPr>
            <w:tcW w:w="8599" w:type="dxa"/>
            <w:tcBorders>
              <w:top w:val="single" w:color="auto" w:sz="4" w:space="0"/>
              <w:left w:val="single" w:color="auto" w:sz="4" w:space="0"/>
              <w:bottom w:val="single" w:color="auto" w:sz="4" w:space="0"/>
            </w:tcBorders>
            <w:vAlign w:val="center"/>
          </w:tcPr>
          <w:p>
            <w:pPr>
              <w:snapToGrid w:val="0"/>
              <w:spacing w:line="360" w:lineRule="auto"/>
              <w:rPr>
                <w:rFonts w:ascii="宋体"/>
                <w:color w:val="000000" w:themeColor="text1"/>
                <w:sz w:val="24"/>
              </w:rPr>
            </w:pPr>
            <w:r>
              <w:rPr>
                <w:rFonts w:hint="eastAsia" w:ascii="宋体" w:hAnsi="宋体" w:cs="宋体"/>
                <w:b/>
                <w:bCs/>
                <w:color w:val="000000" w:themeColor="text1"/>
                <w:sz w:val="24"/>
              </w:rPr>
              <w:t>答疑与澄清：</w:t>
            </w:r>
            <w:r>
              <w:rPr>
                <w:rFonts w:hint="eastAsia" w:ascii="宋体" w:hAnsi="宋体" w:cs="宋体"/>
                <w:color w:val="000000" w:themeColor="text1"/>
                <w:sz w:val="24"/>
              </w:rPr>
              <w:t>投标人如认为招标文件表述不清晰、存在歧视性或者其他违法内容的，应当在投标截止时间</w:t>
            </w:r>
            <w:r>
              <w:rPr>
                <w:rFonts w:hint="eastAsia" w:ascii="宋体" w:hAnsi="宋体" w:cs="宋体"/>
                <w:color w:val="000000" w:themeColor="text1"/>
                <w:sz w:val="24"/>
                <w:lang w:val="en-US" w:eastAsia="zh-CN"/>
              </w:rPr>
              <w:t>7</w:t>
            </w:r>
            <w:r>
              <w:rPr>
                <w:rFonts w:hint="eastAsia" w:ascii="宋体" w:hAnsi="宋体" w:cs="宋体"/>
                <w:color w:val="000000" w:themeColor="text1"/>
                <w:sz w:val="24"/>
              </w:rPr>
              <w:t>日前，以书面形式要求招标单位做出书面解释、澄清或者向招标单位提出书面质疑。招标单位将不专门组织答疑；如有答疑，答疑内容是招标文件的组成部分，并将以书面形式通知所有已报名的投标人；如有澄清，澄清内容是招标文件的组成部分，并将以书面形式或在规定的信息发布网站上通知所有已报名的投标人；因其他紧急情况影响本项目正常招标活动的，招标单位将于投标截止日期</w:t>
            </w:r>
            <w:r>
              <w:rPr>
                <w:rFonts w:ascii="宋体" w:hAnsi="宋体" w:cs="宋体"/>
                <w:color w:val="000000" w:themeColor="text1"/>
                <w:sz w:val="24"/>
              </w:rPr>
              <w:t>3</w:t>
            </w:r>
            <w:r>
              <w:rPr>
                <w:rFonts w:hint="eastAsia" w:ascii="宋体" w:hAnsi="宋体" w:cs="宋体"/>
                <w:color w:val="000000" w:themeColor="text1"/>
                <w:sz w:val="24"/>
              </w:rPr>
              <w:t>天前书面通知所有已报名的投标人。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5</w:t>
            </w:r>
          </w:p>
        </w:tc>
        <w:tc>
          <w:tcPr>
            <w:tcW w:w="8599" w:type="dxa"/>
            <w:tcBorders>
              <w:top w:val="single" w:color="auto" w:sz="4" w:space="0"/>
              <w:left w:val="single" w:color="auto" w:sz="4" w:space="0"/>
              <w:bottom w:val="single" w:color="auto" w:sz="4" w:space="0"/>
            </w:tcBorders>
            <w:vAlign w:val="center"/>
          </w:tcPr>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b/>
                <w:bCs/>
                <w:color w:val="000000" w:themeColor="text1"/>
                <w:sz w:val="24"/>
              </w:rPr>
              <w:t>投标文件组成：</w:t>
            </w:r>
            <w:r>
              <w:rPr>
                <w:rFonts w:hint="eastAsia" w:ascii="宋体" w:hAnsi="宋体" w:cs="宋体"/>
                <w:color w:val="000000" w:themeColor="text1"/>
                <w:sz w:val="24"/>
              </w:rPr>
              <w:t>本项目实行网上投标，投标人应准备以下投标文件：</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（1）投标声明书；</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（2）投标报价一览表；</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（3）法定代表人身份证明书或法定代表人/分行负责人授权委托书；</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（4）投标人声明书、投标人近三年在经营活动中没有重大违法记录的书面声明</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声明函；</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（5）投标人资格证明文件；</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（6）根据第四章评分标准中的内容提供相应的资料；</w:t>
            </w:r>
          </w:p>
          <w:p>
            <w:pPr>
              <w:autoSpaceDE w:val="0"/>
              <w:autoSpaceDN w:val="0"/>
              <w:snapToGrid w:val="0"/>
              <w:spacing w:line="360" w:lineRule="auto"/>
              <w:textAlignment w:val="bottom"/>
              <w:rPr>
                <w:rFonts w:hint="eastAsia" w:ascii="宋体" w:hAnsi="宋体" w:cs="宋体"/>
                <w:color w:val="000000" w:themeColor="text1"/>
                <w:sz w:val="24"/>
              </w:rPr>
            </w:pPr>
            <w:r>
              <w:rPr>
                <w:rFonts w:hint="eastAsia" w:ascii="宋体" w:hAnsi="宋体" w:cs="宋体"/>
                <w:color w:val="000000" w:themeColor="text1"/>
                <w:sz w:val="24"/>
              </w:rPr>
              <w:t>（7）投标人认为需提供的其他资料。</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 xml:space="preserve">注意事项 </w:t>
            </w:r>
          </w:p>
          <w:p>
            <w:pPr>
              <w:autoSpaceDE w:val="0"/>
              <w:autoSpaceDN w:val="0"/>
              <w:snapToGrid w:val="0"/>
              <w:spacing w:line="360" w:lineRule="auto"/>
              <w:textAlignment w:val="bottom"/>
              <w:rPr>
                <w:rFonts w:ascii="宋体" w:hAnsi="宋体" w:cs="宋体"/>
                <w:color w:val="000000" w:themeColor="text1"/>
                <w:sz w:val="24"/>
              </w:rPr>
            </w:pPr>
            <w:r>
              <w:rPr>
                <w:rFonts w:hint="eastAsia" w:ascii="宋体" w:hAnsi="宋体" w:cs="宋体"/>
                <w:color w:val="000000" w:themeColor="text1"/>
                <w:sz w:val="24"/>
              </w:rPr>
              <w:t xml:space="preserve">（1）电子投标文件中所须加盖公章部分均采用 CA 签章。 </w:t>
            </w:r>
          </w:p>
          <w:p>
            <w:pPr>
              <w:autoSpaceDE w:val="0"/>
              <w:autoSpaceDN w:val="0"/>
              <w:snapToGrid w:val="0"/>
              <w:spacing w:line="360" w:lineRule="auto"/>
              <w:textAlignment w:val="bottom"/>
              <w:rPr>
                <w:rFonts w:ascii="宋体"/>
                <w:color w:val="000000" w:themeColor="text1"/>
                <w:sz w:val="24"/>
              </w:rPr>
            </w:pPr>
            <w:r>
              <w:rPr>
                <w:rFonts w:hint="eastAsia" w:ascii="宋体" w:hAnsi="宋体" w:cs="宋体"/>
                <w:color w:val="000000" w:themeColor="text1"/>
                <w:sz w:val="24"/>
              </w:rPr>
              <w:t>（2）上述组成投标文件的各项资料中本招标文件的有规定格式的，应统一按本招标文件的规定格式填写。未有规定格式的资料，投标人应自行编制，但至少要包含以上要求的内容。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6</w:t>
            </w:r>
          </w:p>
        </w:tc>
        <w:tc>
          <w:tcPr>
            <w:tcW w:w="8599" w:type="dxa"/>
            <w:tcBorders>
              <w:top w:val="single" w:color="auto" w:sz="4" w:space="0"/>
              <w:left w:val="single" w:color="auto" w:sz="4" w:space="0"/>
              <w:bottom w:val="single" w:color="auto" w:sz="4" w:space="0"/>
            </w:tcBorders>
            <w:vAlign w:val="center"/>
          </w:tcPr>
          <w:p>
            <w:pPr>
              <w:snapToGrid w:val="0"/>
              <w:spacing w:line="360" w:lineRule="auto"/>
              <w:rPr>
                <w:rFonts w:ascii="宋体"/>
                <w:color w:val="000000" w:themeColor="text1"/>
                <w:sz w:val="24"/>
              </w:rPr>
            </w:pPr>
            <w:r>
              <w:rPr>
                <w:rFonts w:hint="eastAsia" w:ascii="宋体" w:hAnsi="宋体" w:cs="宋体"/>
                <w:b/>
                <w:bCs/>
                <w:color w:val="000000" w:themeColor="text1"/>
                <w:sz w:val="24"/>
              </w:rPr>
              <w:t>投标截止时间及地点：</w:t>
            </w:r>
            <w:r>
              <w:rPr>
                <w:rFonts w:hint="eastAsia" w:ascii="宋体" w:hAnsi="宋体" w:cs="宋体"/>
                <w:color w:val="000000" w:themeColor="text1"/>
                <w:sz w:val="24"/>
                <w:u w:val="single"/>
              </w:rPr>
              <w:t>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7</w:t>
            </w:r>
          </w:p>
        </w:tc>
        <w:tc>
          <w:tcPr>
            <w:tcW w:w="8599" w:type="dxa"/>
            <w:tcBorders>
              <w:top w:val="single" w:color="auto" w:sz="4" w:space="0"/>
              <w:left w:val="single" w:color="auto" w:sz="4" w:space="0"/>
              <w:bottom w:val="single" w:color="auto" w:sz="4" w:space="0"/>
            </w:tcBorders>
            <w:vAlign w:val="center"/>
          </w:tcPr>
          <w:p>
            <w:pPr>
              <w:snapToGrid w:val="0"/>
              <w:spacing w:line="360" w:lineRule="auto"/>
              <w:rPr>
                <w:rFonts w:ascii="宋体"/>
                <w:color w:val="000000" w:themeColor="text1"/>
                <w:sz w:val="24"/>
              </w:rPr>
            </w:pPr>
            <w:r>
              <w:rPr>
                <w:rFonts w:hint="eastAsia" w:ascii="宋体" w:hAnsi="宋体" w:cs="宋体"/>
                <w:b/>
                <w:bCs/>
                <w:color w:val="000000" w:themeColor="text1"/>
                <w:sz w:val="24"/>
              </w:rPr>
              <w:t>开标时间及地点：</w:t>
            </w:r>
            <w:r>
              <w:rPr>
                <w:rFonts w:hint="eastAsia" w:ascii="宋体" w:hAnsi="宋体" w:cs="宋体"/>
                <w:color w:val="000000" w:themeColor="text1"/>
                <w:sz w:val="24"/>
                <w:u w:val="single"/>
              </w:rPr>
              <w:t>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8</w:t>
            </w:r>
          </w:p>
        </w:tc>
        <w:tc>
          <w:tcPr>
            <w:tcW w:w="8599" w:type="dxa"/>
            <w:tcBorders>
              <w:top w:val="single" w:color="auto" w:sz="4" w:space="0"/>
              <w:left w:val="single" w:color="auto" w:sz="4" w:space="0"/>
              <w:bottom w:val="single" w:color="auto" w:sz="4" w:space="0"/>
            </w:tcBorders>
            <w:vAlign w:val="center"/>
          </w:tcPr>
          <w:p>
            <w:pPr>
              <w:autoSpaceDE w:val="0"/>
              <w:autoSpaceDN w:val="0"/>
              <w:snapToGrid w:val="0"/>
              <w:spacing w:line="360" w:lineRule="auto"/>
              <w:textAlignment w:val="bottom"/>
              <w:rPr>
                <w:rFonts w:ascii="宋体"/>
                <w:color w:val="000000" w:themeColor="text1"/>
                <w:sz w:val="24"/>
              </w:rPr>
            </w:pPr>
            <w:r>
              <w:rPr>
                <w:rFonts w:hint="eastAsia" w:ascii="宋体" w:hAnsi="宋体" w:cs="宋体"/>
                <w:b/>
                <w:bCs/>
                <w:color w:val="000000" w:themeColor="text1"/>
                <w:sz w:val="24"/>
              </w:rPr>
              <w:t>评标办法：</w:t>
            </w:r>
            <w:r>
              <w:rPr>
                <w:rFonts w:hint="eastAsia" w:ascii="宋体" w:hAnsi="宋体" w:cs="宋体"/>
                <w:color w:val="000000" w:themeColor="text1"/>
                <w:sz w:val="24"/>
                <w:u w:val="singl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9</w:t>
            </w:r>
          </w:p>
        </w:tc>
        <w:tc>
          <w:tcPr>
            <w:tcW w:w="8599" w:type="dxa"/>
            <w:tcBorders>
              <w:top w:val="single" w:color="auto" w:sz="4" w:space="0"/>
              <w:left w:val="single" w:color="auto" w:sz="4" w:space="0"/>
              <w:bottom w:val="single" w:color="auto" w:sz="4" w:space="0"/>
            </w:tcBorders>
            <w:vAlign w:val="center"/>
          </w:tcPr>
          <w:p>
            <w:pPr>
              <w:autoSpaceDE w:val="0"/>
              <w:autoSpaceDN w:val="0"/>
              <w:snapToGrid w:val="0"/>
              <w:spacing w:line="360" w:lineRule="auto"/>
              <w:textAlignment w:val="bottom"/>
              <w:rPr>
                <w:rFonts w:ascii="宋体"/>
                <w:color w:val="000000" w:themeColor="text1"/>
                <w:sz w:val="24"/>
              </w:rPr>
            </w:pPr>
            <w:r>
              <w:rPr>
                <w:rFonts w:hint="eastAsia" w:ascii="宋体" w:hAnsi="宋体" w:cs="宋体"/>
                <w:b/>
                <w:bCs/>
                <w:color w:val="000000" w:themeColor="text1"/>
                <w:sz w:val="24"/>
              </w:rPr>
              <w:t>信息公示：</w:t>
            </w:r>
            <w:r>
              <w:rPr>
                <w:rFonts w:hint="eastAsia" w:ascii="宋体" w:hAnsi="宋体" w:cs="宋体"/>
                <w:color w:val="000000" w:themeColor="text1"/>
                <w:sz w:val="24"/>
              </w:rPr>
              <w:t>招标公告和中标结果将在浙江政府采购网予以公示。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10</w:t>
            </w:r>
          </w:p>
        </w:tc>
        <w:tc>
          <w:tcPr>
            <w:tcW w:w="8599" w:type="dxa"/>
            <w:tcBorders>
              <w:top w:val="single" w:color="auto" w:sz="4" w:space="0"/>
              <w:left w:val="single" w:color="auto" w:sz="4" w:space="0"/>
              <w:bottom w:val="single" w:color="auto" w:sz="4" w:space="0"/>
            </w:tcBorders>
            <w:vAlign w:val="center"/>
          </w:tcPr>
          <w:p>
            <w:pPr>
              <w:autoSpaceDE w:val="0"/>
              <w:autoSpaceDN w:val="0"/>
              <w:snapToGrid w:val="0"/>
              <w:spacing w:line="360" w:lineRule="auto"/>
              <w:textAlignment w:val="bottom"/>
              <w:rPr>
                <w:rFonts w:ascii="宋体" w:hAnsi="宋体" w:cs="宋体"/>
                <w:b/>
                <w:bCs/>
                <w:color w:val="000000" w:themeColor="text1"/>
                <w:sz w:val="24"/>
              </w:rPr>
            </w:pPr>
            <w:r>
              <w:rPr>
                <w:rFonts w:hint="eastAsia" w:ascii="宋体" w:hAnsi="宋体" w:cs="宋体"/>
                <w:b/>
                <w:bCs/>
                <w:color w:val="000000" w:themeColor="text1"/>
                <w:sz w:val="24"/>
              </w:rPr>
              <w:t>投标文件数量要求：</w:t>
            </w:r>
          </w:p>
          <w:p>
            <w:pPr>
              <w:autoSpaceDE w:val="0"/>
              <w:autoSpaceDN w:val="0"/>
              <w:snapToGrid w:val="0"/>
              <w:spacing w:line="360" w:lineRule="auto"/>
              <w:textAlignment w:val="bottom"/>
              <w:rPr>
                <w:rFonts w:ascii="宋体" w:hAnsi="宋体" w:cs="宋体"/>
                <w:bCs/>
                <w:color w:val="000000" w:themeColor="text1"/>
                <w:sz w:val="24"/>
              </w:rPr>
            </w:pPr>
            <w:r>
              <w:rPr>
                <w:rFonts w:hint="eastAsia" w:ascii="宋体" w:hAnsi="宋体" w:cs="宋体"/>
                <w:b/>
                <w:bCs/>
                <w:color w:val="000000" w:themeColor="text1"/>
                <w:sz w:val="24"/>
              </w:rPr>
              <w:t>▲</w:t>
            </w:r>
            <w:r>
              <w:rPr>
                <w:rFonts w:hint="eastAsia" w:ascii="宋体" w:hAnsi="宋体" w:cs="宋体"/>
                <w:bCs/>
                <w:color w:val="000000" w:themeColor="text1"/>
                <w:sz w:val="24"/>
              </w:rPr>
              <w:t>1、上传到</w:t>
            </w:r>
            <w:r>
              <w:rPr>
                <w:rFonts w:hint="eastAsia" w:ascii="宋体" w:hAnsi="宋体" w:cs="宋体"/>
                <w:bCs/>
                <w:color w:val="000000" w:themeColor="text1"/>
                <w:sz w:val="24"/>
                <w:lang w:eastAsia="zh-CN"/>
              </w:rPr>
              <w:t>浙江省公款竞争性存放网上招标平台</w:t>
            </w:r>
            <w:r>
              <w:rPr>
                <w:rFonts w:hint="eastAsia" w:ascii="宋体" w:hAnsi="宋体" w:cs="宋体"/>
                <w:bCs/>
                <w:color w:val="000000" w:themeColor="text1"/>
                <w:sz w:val="24"/>
              </w:rPr>
              <w:t>的电子投标文件。</w:t>
            </w:r>
          </w:p>
          <w:p>
            <w:pPr>
              <w:autoSpaceDE w:val="0"/>
              <w:autoSpaceDN w:val="0"/>
              <w:snapToGrid w:val="0"/>
              <w:spacing w:line="360" w:lineRule="auto"/>
              <w:textAlignment w:val="bottom"/>
              <w:rPr>
                <w:rFonts w:ascii="宋体" w:hAnsi="宋体" w:cs="宋体"/>
                <w:bCs/>
                <w:color w:val="000000" w:themeColor="text1"/>
                <w:sz w:val="24"/>
              </w:rPr>
            </w:pPr>
            <w:r>
              <w:rPr>
                <w:rFonts w:hint="eastAsia" w:ascii="宋体" w:hAnsi="宋体" w:cs="宋体"/>
                <w:bCs/>
                <w:color w:val="000000" w:themeColor="text1"/>
                <w:sz w:val="24"/>
              </w:rPr>
              <w:t>2、以 U 盘形式存储的电子备份投标文件。</w:t>
            </w:r>
          </w:p>
          <w:p>
            <w:pPr>
              <w:autoSpaceDE w:val="0"/>
              <w:autoSpaceDN w:val="0"/>
              <w:snapToGrid w:val="0"/>
              <w:spacing w:line="360" w:lineRule="auto"/>
              <w:textAlignment w:val="bottom"/>
              <w:rPr>
                <w:rFonts w:ascii="宋体" w:hAnsi="宋体" w:cs="宋体"/>
                <w:bCs/>
                <w:color w:val="000000" w:themeColor="text1"/>
                <w:sz w:val="24"/>
              </w:rPr>
            </w:pPr>
            <w:r>
              <w:rPr>
                <w:rFonts w:hint="eastAsia" w:ascii="宋体" w:hAnsi="宋体" w:cs="宋体"/>
                <w:bCs/>
                <w:color w:val="000000" w:themeColor="text1"/>
                <w:sz w:val="24"/>
              </w:rPr>
              <w:t>注：（1）电子备份投标文件不作实质性要求，是否提交由投标人自行决定。</w:t>
            </w:r>
          </w:p>
          <w:p>
            <w:pPr>
              <w:autoSpaceDE w:val="0"/>
              <w:autoSpaceDN w:val="0"/>
              <w:snapToGrid w:val="0"/>
              <w:spacing w:line="360" w:lineRule="auto"/>
              <w:textAlignment w:val="bottom"/>
              <w:rPr>
                <w:rFonts w:ascii="宋体" w:hAnsi="宋体" w:cs="宋体"/>
                <w:b/>
                <w:bCs/>
                <w:color w:val="000000" w:themeColor="text1"/>
                <w:sz w:val="24"/>
              </w:rPr>
            </w:pPr>
            <w:r>
              <w:rPr>
                <w:rFonts w:hint="eastAsia" w:ascii="宋体" w:hAnsi="宋体" w:cs="宋体"/>
                <w:bCs/>
                <w:color w:val="000000" w:themeColor="text1"/>
                <w:sz w:val="24"/>
              </w:rPr>
              <w:t>（2）投标人需在202</w:t>
            </w:r>
            <w:r>
              <w:rPr>
                <w:rFonts w:hint="eastAsia" w:ascii="宋体" w:hAnsi="宋体" w:cs="宋体"/>
                <w:bCs/>
                <w:color w:val="000000" w:themeColor="text1"/>
                <w:sz w:val="24"/>
                <w:lang w:val="en-US" w:eastAsia="zh-CN"/>
              </w:rPr>
              <w:t>6</w:t>
            </w:r>
            <w:r>
              <w:rPr>
                <w:rFonts w:hint="eastAsia" w:ascii="宋体" w:hAnsi="宋体" w:cs="宋体"/>
                <w:bCs/>
                <w:color w:val="000000" w:themeColor="text1"/>
                <w:sz w:val="24"/>
              </w:rPr>
              <w:t>年</w:t>
            </w: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月</w:t>
            </w:r>
            <w:r>
              <w:rPr>
                <w:rFonts w:hint="eastAsia" w:ascii="宋体" w:hAnsi="宋体" w:cs="宋体"/>
                <w:bCs/>
                <w:color w:val="000000" w:themeColor="text1"/>
                <w:sz w:val="24"/>
                <w:lang w:val="en-US" w:eastAsia="zh-CN"/>
              </w:rPr>
              <w:t>17</w:t>
            </w:r>
            <w:r>
              <w:rPr>
                <w:rFonts w:hint="eastAsia" w:ascii="宋体" w:hAnsi="宋体" w:cs="宋体"/>
                <w:bCs/>
                <w:color w:val="000000" w:themeColor="text1"/>
                <w:sz w:val="24"/>
              </w:rPr>
              <w:t>日1</w:t>
            </w:r>
            <w:r>
              <w:rPr>
                <w:rFonts w:hint="eastAsia" w:ascii="宋体" w:hAnsi="宋体" w:cs="宋体"/>
                <w:bCs/>
                <w:color w:val="000000" w:themeColor="text1"/>
                <w:sz w:val="24"/>
                <w:lang w:val="en-US" w:eastAsia="zh-CN"/>
              </w:rPr>
              <w:t>4</w:t>
            </w:r>
            <w:r>
              <w:rPr>
                <w:rFonts w:hint="eastAsia" w:ascii="宋体" w:hAnsi="宋体" w:cs="宋体"/>
                <w:bCs/>
                <w:color w:val="000000" w:themeColor="text1"/>
                <w:sz w:val="24"/>
              </w:rPr>
              <w:t>:00前向采购代理机构提供上传的电子投标文件</w:t>
            </w:r>
            <w:r>
              <w:rPr>
                <w:rFonts w:hint="eastAsia" w:ascii="宋体" w:hAnsi="宋体" w:cs="宋体"/>
                <w:bCs/>
                <w:color w:val="FF0000"/>
                <w:sz w:val="24"/>
              </w:rPr>
              <w:t>全套</w:t>
            </w:r>
            <w:r>
              <w:rPr>
                <w:rFonts w:hint="eastAsia" w:ascii="宋体" w:hAnsi="宋体" w:cs="宋体"/>
                <w:bCs/>
                <w:color w:val="FF0000"/>
                <w:sz w:val="24"/>
                <w:lang w:val="en-US" w:eastAsia="zh-CN"/>
              </w:rPr>
              <w:t>胶装</w:t>
            </w:r>
            <w:r>
              <w:rPr>
                <w:rFonts w:hint="eastAsia" w:ascii="宋体" w:hAnsi="宋体" w:cs="宋体"/>
                <w:bCs/>
                <w:color w:val="FF0000"/>
                <w:sz w:val="24"/>
              </w:rPr>
              <w:t>打印装订成册的纸质投标文件</w:t>
            </w:r>
            <w:r>
              <w:rPr>
                <w:rFonts w:hint="eastAsia" w:ascii="宋体" w:hAnsi="宋体" w:cs="宋体"/>
                <w:bCs/>
                <w:color w:val="FF0000"/>
                <w:sz w:val="24"/>
                <w:lang w:val="en-US" w:eastAsia="zh-CN"/>
              </w:rPr>
              <w:t>5</w:t>
            </w:r>
            <w:r>
              <w:rPr>
                <w:rFonts w:hint="eastAsia" w:ascii="宋体" w:hAnsi="宋体" w:cs="宋体"/>
                <w:bCs/>
                <w:color w:val="FF0000"/>
                <w:sz w:val="24"/>
              </w:rPr>
              <w:t>份</w:t>
            </w:r>
            <w:r>
              <w:rPr>
                <w:rFonts w:hint="eastAsia" w:ascii="宋体" w:hAnsi="宋体" w:cs="宋体"/>
                <w:bCs/>
                <w:color w:val="000000" w:themeColor="text1"/>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1</w:t>
            </w:r>
            <w:r>
              <w:rPr>
                <w:rFonts w:hint="eastAsia" w:ascii="宋体" w:hAnsi="宋体" w:cs="宋体"/>
                <w:color w:val="000000" w:themeColor="text1"/>
                <w:sz w:val="24"/>
              </w:rPr>
              <w:t>1</w:t>
            </w:r>
          </w:p>
        </w:tc>
        <w:tc>
          <w:tcPr>
            <w:tcW w:w="8599" w:type="dxa"/>
            <w:tcBorders>
              <w:top w:val="single" w:color="auto" w:sz="4" w:space="0"/>
              <w:left w:val="single" w:color="auto" w:sz="4" w:space="0"/>
              <w:bottom w:val="single" w:color="auto" w:sz="4" w:space="0"/>
            </w:tcBorders>
            <w:vAlign w:val="center"/>
          </w:tcPr>
          <w:p>
            <w:pPr>
              <w:autoSpaceDE w:val="0"/>
              <w:autoSpaceDN w:val="0"/>
              <w:snapToGrid w:val="0"/>
              <w:spacing w:line="360" w:lineRule="auto"/>
              <w:textAlignment w:val="bottom"/>
              <w:rPr>
                <w:rFonts w:ascii="宋体"/>
                <w:color w:val="000000" w:themeColor="text1"/>
                <w:sz w:val="24"/>
              </w:rPr>
            </w:pPr>
            <w:r>
              <w:rPr>
                <w:rFonts w:hint="eastAsia" w:ascii="宋体" w:hAnsi="宋体" w:cs="宋体"/>
                <w:b/>
                <w:bCs/>
                <w:color w:val="000000" w:themeColor="text1"/>
                <w:sz w:val="24"/>
              </w:rPr>
              <w:t>签订协议时间：</w:t>
            </w:r>
            <w:r>
              <w:rPr>
                <w:rFonts w:hint="eastAsia" w:ascii="宋体" w:hAnsi="宋体" w:cs="宋体"/>
                <w:color w:val="000000" w:themeColor="text1"/>
                <w:sz w:val="24"/>
                <w:u w:val="single"/>
              </w:rPr>
              <w:t>中标通知书发出后</w:t>
            </w:r>
            <w:r>
              <w:rPr>
                <w:rFonts w:ascii="宋体" w:hAnsi="宋体" w:cs="宋体"/>
                <w:color w:val="000000" w:themeColor="text1"/>
                <w:sz w:val="24"/>
                <w:u w:val="single"/>
              </w:rPr>
              <w:t xml:space="preserve"> 30 </w:t>
            </w:r>
            <w:r>
              <w:rPr>
                <w:rFonts w:hint="eastAsia" w:ascii="宋体" w:hAnsi="宋体" w:cs="宋体"/>
                <w:color w:val="000000" w:themeColor="text1"/>
                <w:sz w:val="24"/>
                <w:u w:val="single"/>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hint="eastAsia" w:ascii="宋体" w:hAnsi="宋体" w:cs="宋体"/>
                <w:color w:val="000000" w:themeColor="text1"/>
                <w:sz w:val="24"/>
              </w:rPr>
              <w:t>▲</w:t>
            </w:r>
            <w:r>
              <w:rPr>
                <w:rFonts w:ascii="宋体" w:hAnsi="宋体" w:cs="宋体"/>
                <w:color w:val="000000" w:themeColor="text1"/>
                <w:sz w:val="24"/>
              </w:rPr>
              <w:t>1</w:t>
            </w:r>
            <w:r>
              <w:rPr>
                <w:rFonts w:hint="eastAsia" w:ascii="宋体" w:hAnsi="宋体" w:cs="宋体"/>
                <w:color w:val="000000" w:themeColor="text1"/>
                <w:sz w:val="24"/>
              </w:rPr>
              <w:t>2</w:t>
            </w:r>
          </w:p>
        </w:tc>
        <w:tc>
          <w:tcPr>
            <w:tcW w:w="859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4"/>
              </w:rPr>
            </w:pPr>
            <w:r>
              <w:rPr>
                <w:rFonts w:hint="eastAsia" w:ascii="宋体" w:hAnsi="宋体" w:cs="宋体"/>
                <w:b/>
                <w:bCs/>
                <w:color w:val="000000" w:themeColor="text1"/>
                <w:sz w:val="24"/>
              </w:rPr>
              <w:t>服务期限：</w:t>
            </w:r>
            <w:r>
              <w:rPr>
                <w:rFonts w:hint="eastAsia" w:ascii="宋体" w:hAnsi="宋体" w:cs="宋体"/>
                <w:color w:val="000000" w:themeColor="text1"/>
                <w:sz w:val="24"/>
              </w:rPr>
              <w:t>本项目</w:t>
            </w:r>
            <w:r>
              <w:rPr>
                <w:rFonts w:hint="eastAsia" w:ascii="宋体" w:hAnsi="宋体" w:cs="宋体"/>
                <w:color w:val="000000" w:themeColor="text1"/>
                <w:sz w:val="24"/>
                <w:lang w:val="en-US" w:eastAsia="zh-CN"/>
              </w:rPr>
              <w:t>开户</w:t>
            </w:r>
            <w:r>
              <w:rPr>
                <w:rFonts w:hint="eastAsia" w:ascii="宋体" w:hAnsi="宋体" w:cs="宋体"/>
                <w:color w:val="000000" w:themeColor="text1"/>
                <w:sz w:val="24"/>
              </w:rPr>
              <w:t>期为</w:t>
            </w:r>
            <w:r>
              <w:rPr>
                <w:rFonts w:hint="eastAsia" w:ascii="宋体" w:hAnsi="宋体" w:cs="宋体"/>
                <w:color w:val="000000" w:themeColor="text1"/>
                <w:sz w:val="24"/>
                <w:highlight w:val="none"/>
                <w:lang w:val="en-US" w:eastAsia="zh-CN"/>
              </w:rPr>
              <w:t>五年</w:t>
            </w: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lang w:val="en-US" w:eastAsia="zh-CN"/>
              </w:rPr>
              <w:t>开户协议</w:t>
            </w:r>
            <w:r>
              <w:rPr>
                <w:rFonts w:hint="eastAsia" w:ascii="宋体" w:hAnsi="宋体" w:cs="宋体"/>
                <w:color w:val="000000" w:themeColor="text1"/>
                <w:sz w:val="24"/>
                <w:highlight w:val="none"/>
              </w:rPr>
              <w:t>到期后，招标人可根据开户协议对原中标银行进行考核，考核合格可续签开户协议，但续签协议期限不超过</w:t>
            </w:r>
            <w:r>
              <w:rPr>
                <w:rFonts w:hint="eastAsia" w:ascii="宋体" w:hAnsi="宋体" w:cs="宋体"/>
                <w:color w:val="000000" w:themeColor="text1"/>
                <w:sz w:val="24"/>
                <w:highlight w:val="none"/>
                <w:lang w:val="en-US" w:eastAsia="zh-CN"/>
              </w:rPr>
              <w:t>三</w:t>
            </w:r>
            <w:r>
              <w:rPr>
                <w:rFonts w:hint="eastAsia" w:ascii="宋体" w:hAnsi="宋体" w:cs="宋体"/>
                <w:color w:val="000000" w:themeColor="text1"/>
                <w:sz w:val="24"/>
                <w:highlight w:val="none"/>
              </w:rPr>
              <w:t>年。</w:t>
            </w:r>
            <w:r>
              <w:rPr>
                <w:rFonts w:hint="eastAsia" w:ascii="宋体" w:hAnsi="宋体" w:cs="宋体"/>
                <w:color w:val="000000" w:themeColor="text1"/>
                <w:sz w:val="24"/>
              </w:rPr>
              <w:t>如果服务不能达到招标要求和投标承诺的，或国家另有规定的，以及招标人</w:t>
            </w:r>
            <w:r>
              <w:rPr>
                <w:rFonts w:hint="eastAsia" w:ascii="宋体" w:hAnsi="宋体" w:cs="宋体"/>
                <w:color w:val="000000" w:themeColor="text1"/>
                <w:kern w:val="0"/>
                <w:sz w:val="24"/>
              </w:rPr>
              <w:t>因机构改革、上级政策规定等原因，</w:t>
            </w:r>
            <w:r>
              <w:rPr>
                <w:rFonts w:hint="eastAsia" w:ascii="宋体" w:hAnsi="宋体" w:cs="宋体"/>
                <w:color w:val="000000" w:themeColor="text1"/>
                <w:sz w:val="24"/>
              </w:rPr>
              <w:t>招标人有权终止协议。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1</w:t>
            </w:r>
            <w:r>
              <w:rPr>
                <w:rFonts w:hint="eastAsia" w:ascii="宋体" w:hAnsi="宋体" w:cs="宋体"/>
                <w:color w:val="000000" w:themeColor="text1"/>
                <w:sz w:val="24"/>
              </w:rPr>
              <w:t>3</w:t>
            </w:r>
          </w:p>
        </w:tc>
        <w:tc>
          <w:tcPr>
            <w:tcW w:w="8599" w:type="dxa"/>
            <w:tcBorders>
              <w:top w:val="single" w:color="auto" w:sz="4" w:space="0"/>
              <w:left w:val="single" w:color="auto" w:sz="4" w:space="0"/>
              <w:bottom w:val="single" w:color="auto" w:sz="4" w:space="0"/>
            </w:tcBorders>
            <w:vAlign w:val="center"/>
          </w:tcPr>
          <w:p>
            <w:pPr>
              <w:spacing w:line="360" w:lineRule="auto"/>
              <w:jc w:val="left"/>
              <w:rPr>
                <w:rFonts w:ascii="宋体"/>
                <w:color w:val="000000" w:themeColor="text1"/>
                <w:sz w:val="24"/>
              </w:rPr>
            </w:pPr>
            <w:r>
              <w:rPr>
                <w:rFonts w:hint="eastAsia" w:ascii="宋体" w:hAnsi="宋体" w:cs="宋体"/>
                <w:b/>
                <w:bCs/>
                <w:color w:val="000000" w:themeColor="text1"/>
                <w:sz w:val="24"/>
              </w:rPr>
              <w:t>协议终止：</w:t>
            </w:r>
            <w:r>
              <w:rPr>
                <w:rFonts w:hint="eastAsia" w:ascii="宋体" w:hAnsi="宋体" w:cs="宋体"/>
                <w:color w:val="000000" w:themeColor="text1"/>
                <w:sz w:val="24"/>
              </w:rPr>
              <w:t>中标单位在合同有效期内，不得以任何理由终止合同，确有特殊情况的，须提前两个月向招标人提出书面申请，经招标人同意后，方可终止合同。因中标单位出现资金安全事故、重大违法违规情况或财务恶化；监管评级降低，监管部门认为存在较大运营风险；没有按照中标协议承诺履行相应的责任和义务；擅自降低服务条件和服务内容的；出现银行挤兑、存款被盗或其他可能妨害资金安全的情形等上述情况，招标人可有权终止协议，中标单位承担全部责任。因招标人机构调整等政策原因，需提前终止履行合同的，招标人不承担任何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ascii="宋体" w:hAnsi="宋体" w:cs="宋体"/>
                <w:color w:val="000000" w:themeColor="text1"/>
                <w:sz w:val="24"/>
              </w:rPr>
              <w:t>1</w:t>
            </w:r>
            <w:r>
              <w:rPr>
                <w:rFonts w:hint="eastAsia" w:ascii="宋体" w:hAnsi="宋体" w:cs="宋体"/>
                <w:color w:val="000000" w:themeColor="text1"/>
                <w:sz w:val="24"/>
              </w:rPr>
              <w:t>4</w:t>
            </w:r>
          </w:p>
        </w:tc>
        <w:tc>
          <w:tcPr>
            <w:tcW w:w="8599" w:type="dxa"/>
            <w:tcBorders>
              <w:top w:val="single" w:color="auto" w:sz="4" w:space="0"/>
              <w:left w:val="single" w:color="auto" w:sz="4" w:space="0"/>
              <w:bottom w:val="single" w:color="auto" w:sz="4" w:space="0"/>
            </w:tcBorders>
            <w:vAlign w:val="center"/>
          </w:tcPr>
          <w:p>
            <w:pPr>
              <w:spacing w:line="360" w:lineRule="auto"/>
              <w:rPr>
                <w:rFonts w:ascii="宋体"/>
                <w:color w:val="000000" w:themeColor="text1"/>
                <w:sz w:val="24"/>
              </w:rPr>
            </w:pPr>
            <w:r>
              <w:rPr>
                <w:rFonts w:hint="eastAsia" w:ascii="宋体" w:hAnsi="宋体" w:cs="宋体"/>
                <w:b/>
                <w:bCs/>
                <w:color w:val="000000" w:themeColor="text1"/>
                <w:sz w:val="24"/>
              </w:rPr>
              <w:t>投标有效期：</w:t>
            </w:r>
            <w:r>
              <w:rPr>
                <w:rFonts w:hint="eastAsia" w:ascii="宋体" w:hAnsi="宋体" w:cs="宋体"/>
                <w:color w:val="000000" w:themeColor="text1"/>
                <w:sz w:val="24"/>
              </w:rPr>
              <w:t>自开标之日起</w:t>
            </w:r>
            <w:r>
              <w:rPr>
                <w:rFonts w:ascii="宋体" w:hAnsi="宋体" w:cs="宋体"/>
                <w:color w:val="000000" w:themeColor="text1"/>
                <w:sz w:val="24"/>
                <w:u w:val="single"/>
              </w:rPr>
              <w:t xml:space="preserve"> 90 </w:t>
            </w:r>
            <w:r>
              <w:rPr>
                <w:rFonts w:hint="eastAsia" w:ascii="宋体" w:hAnsi="宋体" w:cs="宋体"/>
                <w:color w:val="000000" w:themeColor="text1"/>
                <w:sz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olor w:val="000000" w:themeColor="text1"/>
                <w:sz w:val="24"/>
              </w:rPr>
            </w:pPr>
            <w:r>
              <w:rPr>
                <w:rFonts w:hint="eastAsia" w:ascii="宋体" w:hAnsi="宋体" w:cs="宋体"/>
                <w:color w:val="000000" w:themeColor="text1"/>
                <w:sz w:val="24"/>
              </w:rPr>
              <w:t>▲</w:t>
            </w:r>
            <w:r>
              <w:rPr>
                <w:rFonts w:ascii="宋体" w:hAnsi="宋体" w:cs="宋体"/>
                <w:color w:val="000000" w:themeColor="text1"/>
                <w:sz w:val="24"/>
              </w:rPr>
              <w:t>1</w:t>
            </w:r>
            <w:r>
              <w:rPr>
                <w:rFonts w:hint="eastAsia" w:ascii="宋体" w:hAnsi="宋体" w:cs="宋体"/>
                <w:color w:val="000000" w:themeColor="text1"/>
                <w:sz w:val="24"/>
              </w:rPr>
              <w:t>5</w:t>
            </w:r>
          </w:p>
        </w:tc>
        <w:tc>
          <w:tcPr>
            <w:tcW w:w="8599" w:type="dxa"/>
            <w:tcBorders>
              <w:top w:val="single" w:color="auto" w:sz="4" w:space="0"/>
              <w:left w:val="single" w:color="auto" w:sz="4" w:space="0"/>
              <w:bottom w:val="single" w:color="auto" w:sz="4" w:space="0"/>
            </w:tcBorders>
            <w:vAlign w:val="center"/>
          </w:tcPr>
          <w:p>
            <w:pPr>
              <w:spacing w:line="360" w:lineRule="auto"/>
              <w:rPr>
                <w:rFonts w:hint="eastAsia" w:ascii="宋体" w:eastAsia="宋体"/>
                <w:b/>
                <w:bCs/>
                <w:color w:val="000000" w:themeColor="text1"/>
                <w:sz w:val="24"/>
                <w:lang w:eastAsia="zh-CN"/>
              </w:rPr>
            </w:pPr>
            <w:r>
              <w:rPr>
                <w:rFonts w:hint="eastAsia" w:ascii="宋体" w:hAnsi="宋体" w:cs="宋体"/>
                <w:b/>
                <w:bCs/>
                <w:color w:val="000000" w:themeColor="text1"/>
                <w:sz w:val="24"/>
              </w:rPr>
              <w:t>服务费：</w:t>
            </w:r>
            <w:r>
              <w:rPr>
                <w:rFonts w:hint="eastAsia" w:ascii="宋体" w:hAnsi="宋体" w:cs="宋体"/>
                <w:b/>
                <w:color w:val="000000" w:themeColor="text1"/>
                <w:sz w:val="24"/>
              </w:rPr>
              <w:t>本项目的招标代理服务费向中标单位收取，</w:t>
            </w:r>
            <w:r>
              <w:rPr>
                <w:rFonts w:hint="eastAsia" w:ascii="宋体" w:hAnsi="宋体" w:cs="宋体"/>
                <w:b/>
                <w:color w:val="FF0000"/>
                <w:sz w:val="24"/>
              </w:rPr>
              <w:t>向中标单位</w:t>
            </w:r>
            <w:r>
              <w:rPr>
                <w:rFonts w:hint="eastAsia" w:ascii="宋体" w:hAnsi="宋体" w:cs="宋体"/>
                <w:b/>
                <w:color w:val="FF0000"/>
                <w:sz w:val="24"/>
                <w:lang w:eastAsia="zh-CN"/>
              </w:rPr>
              <w:t>（</w:t>
            </w:r>
            <w:r>
              <w:rPr>
                <w:rFonts w:hint="eastAsia" w:ascii="宋体" w:hAnsi="宋体" w:cs="宋体"/>
                <w:b/>
                <w:color w:val="FF0000"/>
                <w:sz w:val="24"/>
                <w:lang w:val="en-US" w:eastAsia="zh-CN"/>
              </w:rPr>
              <w:t>每家</w:t>
            </w:r>
            <w:r>
              <w:rPr>
                <w:rFonts w:hint="eastAsia" w:ascii="宋体" w:hAnsi="宋体" w:cs="宋体"/>
                <w:b/>
                <w:color w:val="FF0000"/>
                <w:sz w:val="24"/>
                <w:lang w:eastAsia="zh-CN"/>
              </w:rPr>
              <w:t>）</w:t>
            </w:r>
            <w:r>
              <w:rPr>
                <w:rFonts w:hint="eastAsia" w:ascii="宋体" w:hAnsi="宋体" w:cs="宋体"/>
                <w:b/>
                <w:color w:val="FF0000"/>
                <w:sz w:val="24"/>
              </w:rPr>
              <w:t>收取人民币</w:t>
            </w:r>
            <w:r>
              <w:rPr>
                <w:rFonts w:hint="eastAsia" w:ascii="宋体" w:hAnsi="宋体" w:cs="宋体"/>
                <w:b/>
                <w:color w:val="FF0000"/>
                <w:sz w:val="24"/>
                <w:lang w:val="en-US" w:eastAsia="zh-CN"/>
              </w:rPr>
              <w:t>壹仟叁佰</w:t>
            </w:r>
            <w:r>
              <w:rPr>
                <w:rFonts w:hint="eastAsia" w:ascii="宋体" w:hAnsi="宋体" w:cs="宋体"/>
                <w:b/>
                <w:color w:val="FF0000"/>
                <w:sz w:val="24"/>
              </w:rPr>
              <w:t>元整</w:t>
            </w:r>
            <w:r>
              <w:rPr>
                <w:rFonts w:hint="eastAsia" w:ascii="宋体" w:hAnsi="宋体" w:eastAsia="宋体" w:cs="宋体"/>
                <w:b/>
                <w:color w:val="000000" w:themeColor="text1"/>
                <w:sz w:val="24"/>
                <w:lang w:eastAsia="zh-CN"/>
              </w:rPr>
              <w:t>，</w:t>
            </w:r>
            <w:r>
              <w:rPr>
                <w:rFonts w:hint="eastAsia" w:ascii="宋体" w:hAnsi="宋体" w:eastAsia="宋体" w:cs="宋体"/>
                <w:b/>
                <w:color w:val="000000" w:themeColor="text1"/>
                <w:sz w:val="24"/>
              </w:rPr>
              <w:t>由中标银行在领取中标通知书前向代理公司交纳该费用，投标人在报价时应考虑包含上述费用。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16</w:t>
            </w:r>
          </w:p>
        </w:tc>
        <w:tc>
          <w:tcPr>
            <w:tcW w:w="8599" w:type="dxa"/>
            <w:tcBorders>
              <w:top w:val="single" w:color="auto" w:sz="4" w:space="0"/>
              <w:left w:val="single" w:color="auto" w:sz="4" w:space="0"/>
              <w:bottom w:val="single" w:color="auto" w:sz="4" w:space="0"/>
            </w:tcBorders>
            <w:vAlign w:val="center"/>
          </w:tcPr>
          <w:p>
            <w:pPr>
              <w:spacing w:line="360" w:lineRule="auto"/>
              <w:jc w:val="left"/>
              <w:rPr>
                <w:rFonts w:hint="eastAsia" w:ascii="宋体" w:hAnsi="宋体" w:cs="宋体"/>
                <w:color w:val="000000" w:themeColor="text1"/>
                <w:sz w:val="24"/>
              </w:rPr>
            </w:pPr>
            <w:r>
              <w:rPr>
                <w:rFonts w:hint="eastAsia" w:ascii="宋体" w:hAnsi="宋体" w:cs="宋体"/>
                <w:color w:val="000000" w:themeColor="text1"/>
                <w:sz w:val="24"/>
              </w:rPr>
              <w:t>解释：本招标文件的解释权属于招标单位。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17</w:t>
            </w:r>
          </w:p>
        </w:tc>
        <w:tc>
          <w:tcPr>
            <w:tcW w:w="8599" w:type="dxa"/>
            <w:tcBorders>
              <w:top w:val="single" w:color="auto" w:sz="4" w:space="0"/>
              <w:left w:val="single" w:color="auto" w:sz="4" w:space="0"/>
              <w:bottom w:val="single" w:color="auto" w:sz="4" w:space="0"/>
            </w:tcBorders>
            <w:vAlign w:val="center"/>
          </w:tcPr>
          <w:p>
            <w:pPr>
              <w:spacing w:line="360" w:lineRule="auto"/>
              <w:jc w:val="left"/>
              <w:rPr>
                <w:rFonts w:hint="eastAsia" w:ascii="宋体" w:hAnsi="宋体" w:cs="宋体"/>
                <w:color w:val="000000" w:themeColor="text1"/>
                <w:sz w:val="24"/>
              </w:rPr>
            </w:pPr>
            <w:r>
              <w:rPr>
                <w:rFonts w:hint="eastAsia" w:ascii="宋体" w:hAnsi="宋体" w:cs="宋体"/>
                <w:color w:val="000000" w:themeColor="text1"/>
                <w:sz w:val="24"/>
              </w:rPr>
              <w:t>特别说明：</w:t>
            </w:r>
          </w:p>
          <w:p>
            <w:pPr>
              <w:spacing w:line="360" w:lineRule="auto"/>
              <w:jc w:val="left"/>
              <w:rPr>
                <w:rFonts w:hint="eastAsia" w:ascii="宋体" w:hAnsi="宋体" w:cs="宋体"/>
                <w:color w:val="000000" w:themeColor="text1"/>
                <w:sz w:val="24"/>
              </w:rPr>
            </w:pPr>
            <w:r>
              <w:rPr>
                <w:rFonts w:hint="eastAsia" w:ascii="宋体" w:hAnsi="宋体" w:cs="宋体"/>
                <w:color w:val="000000" w:themeColor="text1"/>
                <w:sz w:val="24"/>
              </w:rPr>
              <w:t>（1）投标人应无条件的、认真仔细的、不厌其烦的阅读本招标文件及其澄清答疑、修改答复的补充文件，严格按照招标文件及补充文件的规定和要求编制投标文件。</w:t>
            </w:r>
          </w:p>
          <w:p>
            <w:pPr>
              <w:spacing w:line="360" w:lineRule="auto"/>
              <w:jc w:val="left"/>
              <w:rPr>
                <w:rFonts w:hint="eastAsia" w:ascii="宋体" w:hAnsi="宋体" w:cs="宋体"/>
                <w:color w:val="000000" w:themeColor="text1"/>
                <w:sz w:val="24"/>
              </w:rPr>
            </w:pPr>
            <w:r>
              <w:rPr>
                <w:rFonts w:hint="eastAsia" w:ascii="宋体" w:hAnsi="宋体" w:cs="宋体"/>
                <w:color w:val="000000" w:themeColor="text1"/>
                <w:sz w:val="24"/>
              </w:rPr>
              <w:t>（2）如果发现本招标文件中存在含糊不清、相互矛盾、多种含义以及歧视性不公正条款或违法违规等内容时，请投标人在获取招标文件后，提疑截止时间前按要求书面提出，逾期视同自动放弃疑问提出的权利或招标单位不作答复。</w:t>
            </w:r>
          </w:p>
          <w:p>
            <w:pPr>
              <w:spacing w:line="360" w:lineRule="auto"/>
              <w:jc w:val="left"/>
              <w:rPr>
                <w:rFonts w:hint="eastAsia" w:ascii="宋体" w:hAnsi="宋体" w:cs="宋体"/>
                <w:color w:val="000000" w:themeColor="text1"/>
                <w:sz w:val="24"/>
              </w:rPr>
            </w:pPr>
            <w:r>
              <w:rPr>
                <w:rFonts w:hint="eastAsia" w:ascii="宋体" w:hAnsi="宋体" w:cs="宋体"/>
                <w:color w:val="000000" w:themeColor="text1"/>
                <w:sz w:val="24"/>
              </w:rPr>
              <w:t>（3）该项目中标公示期间，投标人不得通过非正当途径、更不得通过非正当手段获取法律法规规定评标委员会（包括其他相关人员）应当保密的相关内容。即便由此获得资料并作为向招标单位或监督管理部门提出异议或法院起诉的理由，均属于非法索取的依据。</w:t>
            </w:r>
          </w:p>
        </w:tc>
      </w:tr>
    </w:tbl>
    <w:p>
      <w:pPr>
        <w:snapToGrid w:val="0"/>
        <w:ind w:left="238"/>
        <w:jc w:val="center"/>
        <w:outlineLvl w:val="1"/>
        <w:rPr>
          <w:rFonts w:ascii="宋体" w:hAnsi="宋体"/>
          <w:b/>
          <w:bCs/>
          <w:iCs/>
          <w:color w:val="000000" w:themeColor="text1"/>
          <w:sz w:val="32"/>
          <w:szCs w:val="32"/>
        </w:rPr>
      </w:pPr>
      <w:r>
        <w:rPr>
          <w:rFonts w:ascii="宋体" w:hAnsi="宋体"/>
          <w:color w:val="000000" w:themeColor="text1"/>
        </w:rPr>
        <w:br w:type="page"/>
      </w:r>
      <w:bookmarkStart w:id="14" w:name="_Toc355117096"/>
      <w:bookmarkStart w:id="15" w:name="_Toc444597089"/>
      <w:bookmarkStart w:id="16" w:name="_Toc454551067"/>
      <w:bookmarkStart w:id="17" w:name="_Toc436314538"/>
      <w:bookmarkStart w:id="18" w:name="_Toc429406701"/>
      <w:r>
        <w:rPr>
          <w:rFonts w:hint="eastAsia" w:ascii="宋体" w:hAnsi="宋体"/>
          <w:b/>
          <w:bCs/>
          <w:iCs/>
          <w:color w:val="000000" w:themeColor="text1"/>
          <w:sz w:val="32"/>
          <w:szCs w:val="32"/>
        </w:rPr>
        <w:t>第二部分 投标人须知</w:t>
      </w:r>
      <w:bookmarkEnd w:id="14"/>
      <w:bookmarkEnd w:id="15"/>
      <w:bookmarkEnd w:id="16"/>
      <w:bookmarkEnd w:id="17"/>
      <w:bookmarkEnd w:id="18"/>
    </w:p>
    <w:p>
      <w:pPr>
        <w:pStyle w:val="18"/>
        <w:snapToGrid w:val="0"/>
        <w:spacing w:beforeLines="0" w:afterLines="0" w:line="360" w:lineRule="auto"/>
        <w:rPr>
          <w:rFonts w:hAnsi="宋体"/>
          <w:b/>
          <w:color w:val="000000" w:themeColor="text1"/>
        </w:rPr>
      </w:pPr>
      <w:r>
        <w:rPr>
          <w:rFonts w:hint="eastAsia" w:hAnsi="宋体"/>
          <w:b/>
          <w:color w:val="000000" w:themeColor="text1"/>
        </w:rPr>
        <w:t>一、总  则</w:t>
      </w:r>
    </w:p>
    <w:p>
      <w:pPr>
        <w:snapToGrid w:val="0"/>
        <w:spacing w:line="360" w:lineRule="auto"/>
        <w:jc w:val="left"/>
        <w:outlineLvl w:val="1"/>
        <w:rPr>
          <w:rFonts w:ascii="宋体" w:hAnsi="宋体"/>
          <w:b/>
          <w:color w:val="000000" w:themeColor="text1"/>
          <w:sz w:val="24"/>
        </w:rPr>
      </w:pPr>
      <w:bookmarkStart w:id="19" w:name="_Toc454551068"/>
      <w:bookmarkStart w:id="20" w:name="_Toc259108309"/>
      <w:bookmarkStart w:id="21" w:name="_Toc429406702"/>
      <w:bookmarkStart w:id="22" w:name="_Toc249866751"/>
      <w:bookmarkStart w:id="23" w:name="_Toc427442452"/>
      <w:bookmarkStart w:id="24" w:name="_Toc436314539"/>
      <w:bookmarkStart w:id="25" w:name="_Toc355117097"/>
      <w:bookmarkStart w:id="26" w:name="_Toc444597090"/>
      <w:r>
        <w:rPr>
          <w:rFonts w:hint="eastAsia" w:ascii="宋体" w:hAnsi="宋体"/>
          <w:b/>
          <w:color w:val="000000" w:themeColor="text1"/>
          <w:sz w:val="24"/>
        </w:rPr>
        <w:t>（一）</w:t>
      </w:r>
      <w:r>
        <w:rPr>
          <w:rFonts w:ascii="宋体" w:hAnsi="宋体"/>
          <w:b/>
          <w:color w:val="000000" w:themeColor="text1"/>
          <w:sz w:val="24"/>
        </w:rPr>
        <w:t xml:space="preserve"> 适用范围</w:t>
      </w:r>
      <w:bookmarkEnd w:id="19"/>
      <w:bookmarkEnd w:id="20"/>
      <w:bookmarkEnd w:id="21"/>
      <w:bookmarkEnd w:id="22"/>
      <w:bookmarkEnd w:id="23"/>
      <w:bookmarkEnd w:id="24"/>
      <w:bookmarkEnd w:id="25"/>
      <w:bookmarkEnd w:id="26"/>
    </w:p>
    <w:p>
      <w:pPr>
        <w:widowControl/>
        <w:spacing w:line="360" w:lineRule="auto"/>
        <w:ind w:left="60" w:firstLine="540"/>
        <w:jc w:val="left"/>
        <w:rPr>
          <w:rFonts w:ascii="宋体" w:hAnsi="宋体" w:cs="宋体"/>
          <w:color w:val="000000" w:themeColor="text1"/>
          <w:kern w:val="0"/>
          <w:sz w:val="24"/>
        </w:rPr>
      </w:pPr>
      <w:r>
        <w:rPr>
          <w:rFonts w:hint="eastAsia" w:ascii="宋体" w:hAnsi="宋体"/>
          <w:color w:val="000000" w:themeColor="text1"/>
          <w:sz w:val="24"/>
        </w:rPr>
        <w:t>本招标文件适用于本项目的招标、投标、评标、定标、合同履约、付款等行为（法律、法规另有规定的，从其规定）。</w:t>
      </w:r>
    </w:p>
    <w:p>
      <w:pPr>
        <w:snapToGrid w:val="0"/>
        <w:spacing w:line="360" w:lineRule="auto"/>
        <w:jc w:val="left"/>
        <w:outlineLvl w:val="1"/>
        <w:rPr>
          <w:rFonts w:ascii="宋体" w:hAnsi="宋体"/>
          <w:b/>
          <w:color w:val="000000" w:themeColor="text1"/>
          <w:sz w:val="24"/>
        </w:rPr>
      </w:pPr>
      <w:bookmarkStart w:id="27" w:name="_Toc429406703"/>
      <w:bookmarkStart w:id="28" w:name="_Toc427442453"/>
      <w:bookmarkStart w:id="29" w:name="_Toc444597091"/>
      <w:bookmarkStart w:id="30" w:name="_Toc454551069"/>
      <w:bookmarkStart w:id="31" w:name="_Toc259108310"/>
      <w:bookmarkStart w:id="32" w:name="_Toc355117098"/>
      <w:bookmarkStart w:id="33" w:name="_Toc249866752"/>
      <w:bookmarkStart w:id="34" w:name="_Toc436314540"/>
      <w:r>
        <w:rPr>
          <w:rFonts w:hint="eastAsia" w:ascii="宋体" w:hAnsi="宋体"/>
          <w:b/>
          <w:color w:val="000000" w:themeColor="text1"/>
          <w:sz w:val="24"/>
        </w:rPr>
        <w:t>（二）定义</w:t>
      </w:r>
      <w:bookmarkEnd w:id="27"/>
      <w:bookmarkEnd w:id="28"/>
      <w:bookmarkEnd w:id="29"/>
      <w:bookmarkEnd w:id="30"/>
      <w:bookmarkEnd w:id="31"/>
      <w:bookmarkEnd w:id="32"/>
      <w:bookmarkEnd w:id="33"/>
      <w:bookmarkEnd w:id="34"/>
    </w:p>
    <w:p>
      <w:pPr>
        <w:widowControl/>
        <w:spacing w:line="360" w:lineRule="auto"/>
        <w:ind w:left="60" w:firstLine="540"/>
        <w:jc w:val="left"/>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.“招标人”</w:t>
      </w:r>
      <w:r>
        <w:rPr>
          <w:rFonts w:ascii="宋体" w:hAnsi="宋体"/>
          <w:color w:val="000000" w:themeColor="text1"/>
          <w:sz w:val="24"/>
        </w:rPr>
        <w:t>系指组织本次招标的代理机构和招标单位。</w:t>
      </w:r>
    </w:p>
    <w:p>
      <w:pPr>
        <w:widowControl/>
        <w:spacing w:line="360" w:lineRule="auto"/>
        <w:ind w:left="60" w:firstLine="540"/>
        <w:jc w:val="left"/>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w:t>
      </w:r>
      <w:r>
        <w:rPr>
          <w:rFonts w:ascii="宋体" w:hAnsi="宋体"/>
          <w:color w:val="000000" w:themeColor="text1"/>
          <w:sz w:val="24"/>
        </w:rPr>
        <w:t>投标人”系指向</w:t>
      </w:r>
      <w:r>
        <w:rPr>
          <w:rFonts w:hint="eastAsia" w:ascii="宋体" w:hAnsi="宋体"/>
          <w:color w:val="000000" w:themeColor="text1"/>
          <w:sz w:val="24"/>
        </w:rPr>
        <w:t>招标人</w:t>
      </w:r>
      <w:r>
        <w:rPr>
          <w:rFonts w:ascii="宋体" w:hAnsi="宋体"/>
          <w:color w:val="000000" w:themeColor="text1"/>
          <w:sz w:val="24"/>
        </w:rPr>
        <w:t>提交投标文件的单位。</w:t>
      </w:r>
    </w:p>
    <w:p>
      <w:pPr>
        <w:widowControl/>
        <w:spacing w:line="360" w:lineRule="auto"/>
        <w:ind w:left="60" w:firstLine="540"/>
        <w:jc w:val="left"/>
        <w:rPr>
          <w:rFonts w:ascii="宋体" w:hAnsi="宋体"/>
          <w:color w:val="000000" w:themeColor="text1"/>
          <w:sz w:val="24"/>
        </w:rPr>
      </w:pPr>
      <w:r>
        <w:rPr>
          <w:rFonts w:hint="eastAsia" w:ascii="宋体" w:hAnsi="宋体"/>
          <w:color w:val="000000" w:themeColor="text1"/>
          <w:sz w:val="24"/>
        </w:rPr>
        <w:t>3.</w:t>
      </w:r>
      <w:r>
        <w:rPr>
          <w:rFonts w:ascii="宋体" w:hAnsi="宋体"/>
          <w:color w:val="000000" w:themeColor="text1"/>
          <w:sz w:val="24"/>
        </w:rPr>
        <w:t>“服务”系指招标文件规定投标人须承担</w:t>
      </w:r>
      <w:r>
        <w:rPr>
          <w:rFonts w:hint="eastAsia" w:ascii="宋体" w:hAnsi="宋体"/>
          <w:color w:val="000000" w:themeColor="text1"/>
          <w:sz w:val="24"/>
        </w:rPr>
        <w:t>本项目的资金存放定点服务。</w:t>
      </w:r>
    </w:p>
    <w:p>
      <w:pPr>
        <w:widowControl/>
        <w:spacing w:line="360" w:lineRule="auto"/>
        <w:ind w:left="60" w:firstLine="540"/>
        <w:jc w:val="left"/>
        <w:rPr>
          <w:rFonts w:ascii="宋体" w:hAnsi="宋体"/>
          <w:color w:val="000000" w:themeColor="text1"/>
          <w:sz w:val="24"/>
        </w:rPr>
      </w:pPr>
      <w:r>
        <w:rPr>
          <w:rFonts w:hint="eastAsia" w:ascii="宋体" w:hAnsi="宋体"/>
          <w:color w:val="000000" w:themeColor="text1"/>
          <w:sz w:val="24"/>
        </w:rPr>
        <w:t>4.</w:t>
      </w:r>
      <w:r>
        <w:rPr>
          <w:rFonts w:ascii="宋体" w:hAnsi="宋体"/>
          <w:color w:val="000000" w:themeColor="text1"/>
          <w:sz w:val="24"/>
        </w:rPr>
        <w:t>“项目”系指投标人按招标文件规定向招标</w:t>
      </w:r>
      <w:r>
        <w:rPr>
          <w:rFonts w:hint="eastAsia" w:ascii="宋体" w:hAnsi="宋体"/>
          <w:color w:val="000000" w:themeColor="text1"/>
          <w:sz w:val="24"/>
        </w:rPr>
        <w:t>人</w:t>
      </w:r>
      <w:r>
        <w:rPr>
          <w:rFonts w:ascii="宋体" w:hAnsi="宋体"/>
          <w:color w:val="000000" w:themeColor="text1"/>
          <w:sz w:val="24"/>
        </w:rPr>
        <w:t>提供的服务。</w:t>
      </w:r>
    </w:p>
    <w:p>
      <w:pPr>
        <w:widowControl/>
        <w:spacing w:line="360" w:lineRule="auto"/>
        <w:ind w:left="60" w:firstLine="540"/>
        <w:jc w:val="left"/>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“书面形式”包括信函、传真、</w:t>
      </w:r>
      <w:r>
        <w:rPr>
          <w:rFonts w:hint="eastAsia" w:ascii="宋体" w:hAnsi="宋体"/>
          <w:color w:val="000000" w:themeColor="text1"/>
          <w:sz w:val="24"/>
        </w:rPr>
        <w:t>电子邮件</w:t>
      </w:r>
      <w:r>
        <w:rPr>
          <w:rFonts w:ascii="宋体" w:hAnsi="宋体"/>
          <w:color w:val="000000" w:themeColor="text1"/>
          <w:sz w:val="24"/>
        </w:rPr>
        <w:t>等。</w:t>
      </w:r>
    </w:p>
    <w:p>
      <w:pPr>
        <w:widowControl/>
        <w:spacing w:line="360" w:lineRule="auto"/>
        <w:ind w:left="60" w:firstLine="540"/>
        <w:jc w:val="left"/>
        <w:rPr>
          <w:rFonts w:ascii="宋体" w:hAnsi="宋体"/>
          <w:color w:val="000000" w:themeColor="text1"/>
          <w:sz w:val="24"/>
        </w:rPr>
      </w:pPr>
      <w:r>
        <w:rPr>
          <w:rFonts w:hint="eastAsia" w:ascii="宋体" w:hAnsi="宋体"/>
          <w:color w:val="000000" w:themeColor="text1"/>
          <w:sz w:val="24"/>
        </w:rPr>
        <w:t>6.</w:t>
      </w:r>
      <w:r>
        <w:rPr>
          <w:rFonts w:ascii="宋体" w:hAnsi="宋体"/>
          <w:color w:val="000000" w:themeColor="text1"/>
          <w:sz w:val="24"/>
        </w:rPr>
        <w:t>“▲”系指实质性要求条款</w:t>
      </w:r>
      <w:r>
        <w:rPr>
          <w:rFonts w:hint="eastAsia" w:ascii="宋体" w:hAnsi="宋体"/>
          <w:color w:val="000000" w:themeColor="text1"/>
          <w:sz w:val="24"/>
        </w:rPr>
        <w:t>(对</w:t>
      </w:r>
      <w:r>
        <w:rPr>
          <w:rFonts w:ascii="宋体" w:hAnsi="宋体"/>
          <w:color w:val="000000" w:themeColor="text1"/>
          <w:sz w:val="24"/>
        </w:rPr>
        <w:t>“▲”</w:t>
      </w:r>
      <w:r>
        <w:rPr>
          <w:rFonts w:hint="eastAsia" w:ascii="宋体" w:hAnsi="宋体"/>
          <w:color w:val="000000" w:themeColor="text1"/>
          <w:sz w:val="24"/>
        </w:rPr>
        <w:t>条款的偏离将导致投标无效)</w:t>
      </w:r>
      <w:r>
        <w:rPr>
          <w:rFonts w:ascii="宋体" w:hAnsi="宋体"/>
          <w:color w:val="000000" w:themeColor="text1"/>
          <w:sz w:val="24"/>
        </w:rPr>
        <w:t>。</w:t>
      </w:r>
    </w:p>
    <w:p>
      <w:pPr>
        <w:snapToGrid w:val="0"/>
        <w:spacing w:line="360" w:lineRule="auto"/>
        <w:jc w:val="left"/>
        <w:outlineLvl w:val="1"/>
        <w:rPr>
          <w:rFonts w:ascii="宋体" w:hAnsi="宋体"/>
          <w:b/>
          <w:color w:val="000000" w:themeColor="text1"/>
          <w:sz w:val="24"/>
        </w:rPr>
      </w:pPr>
      <w:bookmarkStart w:id="35" w:name="_Toc427442454"/>
      <w:bookmarkStart w:id="36" w:name="_Toc436314541"/>
      <w:bookmarkStart w:id="37" w:name="_Toc444597092"/>
      <w:bookmarkStart w:id="38" w:name="_Toc249866753"/>
      <w:bookmarkStart w:id="39" w:name="_Toc454551070"/>
      <w:bookmarkStart w:id="40" w:name="_Toc259108311"/>
      <w:bookmarkStart w:id="41" w:name="_Toc429406704"/>
      <w:bookmarkStart w:id="42" w:name="_Toc355117099"/>
      <w:r>
        <w:rPr>
          <w:rFonts w:hint="eastAsia" w:ascii="宋体" w:hAnsi="宋体"/>
          <w:b/>
          <w:color w:val="000000" w:themeColor="text1"/>
          <w:sz w:val="24"/>
        </w:rPr>
        <w:t>（三）招标方式</w:t>
      </w:r>
      <w:bookmarkEnd w:id="35"/>
      <w:bookmarkEnd w:id="36"/>
      <w:bookmarkEnd w:id="37"/>
      <w:bookmarkEnd w:id="38"/>
      <w:bookmarkEnd w:id="39"/>
      <w:bookmarkEnd w:id="40"/>
      <w:bookmarkEnd w:id="41"/>
      <w:bookmarkEnd w:id="42"/>
    </w:p>
    <w:p>
      <w:pPr>
        <w:snapToGrid w:val="0"/>
        <w:spacing w:line="360" w:lineRule="auto"/>
        <w:ind w:firstLine="468" w:firstLineChars="195"/>
        <w:jc w:val="left"/>
        <w:rPr>
          <w:rFonts w:ascii="宋体" w:hAnsi="宋体"/>
          <w:color w:val="000000" w:themeColor="text1"/>
          <w:sz w:val="24"/>
        </w:rPr>
      </w:pPr>
      <w:r>
        <w:rPr>
          <w:rFonts w:ascii="宋体" w:hAnsi="宋体"/>
          <w:color w:val="000000" w:themeColor="text1"/>
          <w:sz w:val="24"/>
        </w:rPr>
        <w:t>采用</w:t>
      </w:r>
      <w:r>
        <w:rPr>
          <w:rFonts w:hint="eastAsia" w:ascii="宋体" w:hAnsi="宋体"/>
          <w:color w:val="000000" w:themeColor="text1"/>
          <w:sz w:val="24"/>
        </w:rPr>
        <w:t>公开</w:t>
      </w:r>
      <w:r>
        <w:rPr>
          <w:rFonts w:ascii="宋体" w:hAnsi="宋体"/>
          <w:color w:val="000000" w:themeColor="text1"/>
          <w:sz w:val="24"/>
        </w:rPr>
        <w:t>招标方式进行。</w:t>
      </w:r>
    </w:p>
    <w:p>
      <w:pPr>
        <w:snapToGrid w:val="0"/>
        <w:spacing w:line="360" w:lineRule="auto"/>
        <w:jc w:val="left"/>
        <w:outlineLvl w:val="1"/>
        <w:rPr>
          <w:rFonts w:ascii="宋体" w:hAnsi="宋体"/>
          <w:b/>
          <w:color w:val="000000" w:themeColor="text1"/>
          <w:sz w:val="24"/>
        </w:rPr>
      </w:pPr>
      <w:bookmarkStart w:id="43" w:name="_Toc259108312"/>
      <w:bookmarkStart w:id="44" w:name="_Toc355117100"/>
      <w:bookmarkStart w:id="45" w:name="_Toc249866754"/>
      <w:bookmarkStart w:id="46" w:name="_Toc436314542"/>
      <w:bookmarkStart w:id="47" w:name="_Toc429406705"/>
      <w:bookmarkStart w:id="48" w:name="_Toc454551071"/>
      <w:bookmarkStart w:id="49" w:name="_Toc427442455"/>
      <w:bookmarkStart w:id="50" w:name="_Toc444597093"/>
      <w:r>
        <w:rPr>
          <w:rFonts w:hint="eastAsia" w:ascii="宋体" w:hAnsi="宋体"/>
          <w:b/>
          <w:color w:val="000000" w:themeColor="text1"/>
          <w:sz w:val="24"/>
        </w:rPr>
        <w:t>（四）投标委托</w:t>
      </w:r>
      <w:bookmarkEnd w:id="43"/>
      <w:bookmarkEnd w:id="44"/>
      <w:bookmarkEnd w:id="45"/>
      <w:bookmarkEnd w:id="46"/>
      <w:bookmarkEnd w:id="47"/>
      <w:bookmarkEnd w:id="48"/>
      <w:bookmarkEnd w:id="49"/>
      <w:bookmarkEnd w:id="50"/>
    </w:p>
    <w:p>
      <w:pPr>
        <w:pStyle w:val="3"/>
        <w:snapToGrid w:val="0"/>
        <w:ind w:firstLine="468" w:firstLineChars="195"/>
        <w:jc w:val="left"/>
        <w:rPr>
          <w:rFonts w:ascii="宋体" w:hAnsi="宋体"/>
          <w:color w:val="000000" w:themeColor="text1"/>
        </w:rPr>
      </w:pPr>
      <w:r>
        <w:rPr>
          <w:rFonts w:hint="eastAsia" w:ascii="宋体" w:hAnsi="宋体"/>
          <w:color w:val="000000" w:themeColor="text1"/>
        </w:rPr>
        <w:t>如投标人代表不是法定代表人，须有法定代表人出具的授权委托书（正本用原件，副本用复印件，格式见第六章）。</w:t>
      </w:r>
    </w:p>
    <w:p>
      <w:pPr>
        <w:snapToGrid w:val="0"/>
        <w:spacing w:line="360" w:lineRule="auto"/>
        <w:jc w:val="left"/>
        <w:outlineLvl w:val="1"/>
        <w:rPr>
          <w:rFonts w:ascii="宋体" w:hAnsi="宋体"/>
          <w:b/>
          <w:color w:val="000000" w:themeColor="text1"/>
          <w:sz w:val="24"/>
        </w:rPr>
      </w:pPr>
      <w:bookmarkStart w:id="51" w:name="_Toc427442456"/>
      <w:bookmarkStart w:id="52" w:name="_Toc436314543"/>
      <w:bookmarkStart w:id="53" w:name="_Toc249866755"/>
      <w:bookmarkStart w:id="54" w:name="_Toc454551072"/>
      <w:bookmarkStart w:id="55" w:name="_Toc259108313"/>
      <w:bookmarkStart w:id="56" w:name="_Toc429406706"/>
      <w:bookmarkStart w:id="57" w:name="_Toc444597094"/>
      <w:bookmarkStart w:id="58" w:name="_Toc355117101"/>
      <w:r>
        <w:rPr>
          <w:rFonts w:hint="eastAsia" w:ascii="宋体" w:hAnsi="宋体"/>
          <w:b/>
          <w:color w:val="000000" w:themeColor="text1"/>
          <w:sz w:val="24"/>
        </w:rPr>
        <w:t>（五）投标费用</w:t>
      </w:r>
      <w:bookmarkEnd w:id="51"/>
      <w:bookmarkEnd w:id="52"/>
      <w:bookmarkEnd w:id="53"/>
      <w:bookmarkEnd w:id="54"/>
      <w:bookmarkEnd w:id="55"/>
      <w:bookmarkEnd w:id="56"/>
      <w:bookmarkEnd w:id="57"/>
      <w:bookmarkEnd w:id="58"/>
    </w:p>
    <w:p>
      <w:pPr>
        <w:snapToGrid w:val="0"/>
        <w:spacing w:line="360" w:lineRule="auto"/>
        <w:ind w:firstLine="468" w:firstLineChars="195"/>
        <w:jc w:val="left"/>
        <w:rPr>
          <w:rFonts w:ascii="宋体" w:hAnsi="宋体"/>
          <w:color w:val="000000" w:themeColor="text1"/>
          <w:sz w:val="24"/>
        </w:rPr>
      </w:pPr>
      <w:r>
        <w:rPr>
          <w:rFonts w:hint="eastAsia" w:ascii="宋体" w:hAnsi="宋体"/>
          <w:color w:val="000000" w:themeColor="text1"/>
          <w:sz w:val="24"/>
        </w:rPr>
        <w:t>不论投标结果如何，投标人均应自行承担所有与投标有关的全部费用。</w:t>
      </w:r>
    </w:p>
    <w:p>
      <w:pPr>
        <w:snapToGrid w:val="0"/>
        <w:spacing w:line="360" w:lineRule="auto"/>
        <w:jc w:val="left"/>
        <w:rPr>
          <w:rFonts w:ascii="宋体" w:hAnsi="宋体"/>
          <w:b/>
          <w:color w:val="000000" w:themeColor="text1"/>
          <w:sz w:val="24"/>
        </w:rPr>
      </w:pPr>
      <w:r>
        <w:rPr>
          <w:rFonts w:hint="eastAsia" w:ascii="宋体" w:hAnsi="宋体"/>
          <w:b/>
          <w:color w:val="000000" w:themeColor="text1"/>
          <w:sz w:val="24"/>
        </w:rPr>
        <w:t>（六）联合体投标</w:t>
      </w:r>
    </w:p>
    <w:p>
      <w:pPr>
        <w:snapToGrid w:val="0"/>
        <w:spacing w:line="360" w:lineRule="auto"/>
        <w:ind w:firstLine="468" w:firstLineChars="195"/>
        <w:jc w:val="left"/>
        <w:rPr>
          <w:rFonts w:ascii="宋体" w:hAnsi="宋体" w:cs="Arial"/>
          <w:color w:val="000000" w:themeColor="text1"/>
          <w:sz w:val="24"/>
        </w:rPr>
      </w:pPr>
      <w:r>
        <w:rPr>
          <w:rFonts w:hint="eastAsia" w:ascii="宋体" w:hAnsi="宋体" w:cs="Arial"/>
          <w:color w:val="000000" w:themeColor="text1"/>
          <w:sz w:val="24"/>
        </w:rPr>
        <w:t>本项目不接受联合体投标。</w:t>
      </w:r>
    </w:p>
    <w:p>
      <w:pPr>
        <w:snapToGrid w:val="0"/>
        <w:spacing w:line="360" w:lineRule="auto"/>
        <w:rPr>
          <w:rFonts w:ascii="宋体" w:hAnsi="宋体" w:cs="宋体"/>
          <w:b/>
          <w:color w:val="000000" w:themeColor="text1"/>
          <w:kern w:val="0"/>
          <w:sz w:val="24"/>
        </w:rPr>
      </w:pPr>
      <w:r>
        <w:rPr>
          <w:rFonts w:hint="eastAsia" w:ascii="宋体" w:hAnsi="宋体"/>
          <w:b/>
          <w:color w:val="000000" w:themeColor="text1"/>
          <w:sz w:val="24"/>
        </w:rPr>
        <w:t>（七）</w:t>
      </w:r>
      <w:r>
        <w:rPr>
          <w:rFonts w:hint="eastAsia" w:ascii="宋体" w:hAnsi="宋体" w:cs="宋体"/>
          <w:b/>
          <w:color w:val="000000" w:themeColor="text1"/>
          <w:kern w:val="0"/>
          <w:sz w:val="24"/>
        </w:rPr>
        <w:t>转包与分包</w:t>
      </w:r>
    </w:p>
    <w:p>
      <w:pPr>
        <w:snapToGrid w:val="0"/>
        <w:spacing w:line="360" w:lineRule="auto"/>
        <w:ind w:firstLine="468" w:firstLineChars="195"/>
        <w:rPr>
          <w:rFonts w:ascii="宋体" w:hAnsi="宋体"/>
          <w:color w:val="000000" w:themeColor="text1"/>
          <w:kern w:val="0"/>
          <w:sz w:val="24"/>
        </w:rPr>
      </w:pPr>
      <w:r>
        <w:rPr>
          <w:rFonts w:ascii="宋体" w:hAnsi="宋体"/>
          <w:color w:val="000000" w:themeColor="text1"/>
          <w:kern w:val="0"/>
          <w:sz w:val="24"/>
        </w:rPr>
        <w:t>1.本项目不允许转包。</w:t>
      </w:r>
    </w:p>
    <w:p>
      <w:pPr>
        <w:snapToGrid w:val="0"/>
        <w:spacing w:line="360" w:lineRule="auto"/>
        <w:ind w:firstLine="468" w:firstLineChars="195"/>
        <w:jc w:val="left"/>
        <w:rPr>
          <w:rFonts w:ascii="宋体" w:hAnsi="宋体"/>
          <w:color w:val="000000" w:themeColor="text1"/>
          <w:sz w:val="24"/>
        </w:rPr>
      </w:pPr>
      <w:r>
        <w:rPr>
          <w:rFonts w:ascii="宋体" w:hAnsi="宋体"/>
          <w:color w:val="000000" w:themeColor="text1"/>
          <w:kern w:val="0"/>
          <w:sz w:val="24"/>
        </w:rPr>
        <w:t>2.本项目不可以分包。</w:t>
      </w:r>
    </w:p>
    <w:p>
      <w:pPr>
        <w:snapToGrid w:val="0"/>
        <w:spacing w:line="360" w:lineRule="auto"/>
        <w:jc w:val="left"/>
        <w:outlineLvl w:val="1"/>
        <w:rPr>
          <w:rFonts w:ascii="宋体" w:hAnsi="宋体"/>
          <w:b/>
          <w:color w:val="000000" w:themeColor="text1"/>
          <w:sz w:val="24"/>
        </w:rPr>
      </w:pPr>
      <w:bookmarkStart w:id="59" w:name="_Toc249866756"/>
      <w:bookmarkStart w:id="60" w:name="_Toc355117102"/>
      <w:bookmarkStart w:id="61" w:name="_Toc436314544"/>
      <w:bookmarkStart w:id="62" w:name="_Toc427442457"/>
      <w:bookmarkStart w:id="63" w:name="_Toc259108314"/>
      <w:bookmarkStart w:id="64" w:name="_Toc429406707"/>
      <w:bookmarkStart w:id="65" w:name="_Toc444597095"/>
      <w:bookmarkStart w:id="66" w:name="_Toc454551073"/>
      <w:r>
        <w:rPr>
          <w:rFonts w:ascii="宋体" w:hAnsi="宋体"/>
          <w:b/>
          <w:color w:val="000000" w:themeColor="text1"/>
          <w:sz w:val="24"/>
        </w:rPr>
        <w:t>（八）特别说明：</w:t>
      </w:r>
      <w:bookmarkEnd w:id="59"/>
      <w:bookmarkEnd w:id="60"/>
      <w:bookmarkEnd w:id="61"/>
      <w:bookmarkEnd w:id="62"/>
      <w:bookmarkEnd w:id="63"/>
      <w:bookmarkEnd w:id="64"/>
      <w:bookmarkEnd w:id="65"/>
      <w:bookmarkEnd w:id="66"/>
    </w:p>
    <w:p>
      <w:pPr>
        <w:pStyle w:val="18"/>
        <w:snapToGrid w:val="0"/>
        <w:spacing w:beforeLines="0" w:afterLines="0" w:line="360" w:lineRule="auto"/>
        <w:ind w:left="2" w:leftChars="1" w:firstLine="480" w:firstLineChars="200"/>
        <w:rPr>
          <w:rFonts w:hAnsi="宋体"/>
          <w:color w:val="000000" w:themeColor="text1"/>
        </w:rPr>
      </w:pPr>
      <w:bookmarkStart w:id="67" w:name="_Toc249866757"/>
      <w:bookmarkStart w:id="68" w:name="_Toc259108315"/>
      <w:r>
        <w:rPr>
          <w:rFonts w:hAnsi="宋体"/>
          <w:color w:val="000000" w:themeColor="text1"/>
        </w:rPr>
        <w:t>1.投标人投标所使用的资格、信誉、荣誉、业绩与企业认证必须为本法人所拥有。投标人投标所使用的招标项目实施人员必须为本法人员工（或必须为本法人或控股公司正式员工）。</w:t>
      </w:r>
    </w:p>
    <w:p>
      <w:pPr>
        <w:pStyle w:val="18"/>
        <w:snapToGrid w:val="0"/>
        <w:spacing w:beforeLines="0" w:afterLines="0" w:line="360" w:lineRule="auto"/>
        <w:ind w:left="2" w:leftChars="1" w:firstLine="360" w:firstLineChars="150"/>
        <w:rPr>
          <w:rFonts w:hAnsi="宋体"/>
          <w:color w:val="000000" w:themeColor="text1"/>
        </w:rPr>
      </w:pPr>
      <w:r>
        <w:rPr>
          <w:rFonts w:hAnsi="宋体"/>
          <w:color w:val="000000" w:themeColor="text1"/>
        </w:rPr>
        <w:t>2.投标人应仔细阅读招标文件的所有内容，按照招标文件的要求提交投标文件，并对所提供的全部资料的真实性承担法律责任。</w:t>
      </w:r>
    </w:p>
    <w:p>
      <w:pPr>
        <w:pStyle w:val="18"/>
        <w:snapToGrid w:val="0"/>
        <w:spacing w:beforeLines="0" w:afterLines="0" w:line="360" w:lineRule="auto"/>
        <w:ind w:firstLine="470" w:firstLineChars="195"/>
        <w:rPr>
          <w:rFonts w:hAnsi="宋体"/>
          <w:bCs/>
          <w:color w:val="000000" w:themeColor="text1"/>
        </w:rPr>
      </w:pPr>
      <w:r>
        <w:rPr>
          <w:rFonts w:hint="eastAsia" w:hAnsi="宋体"/>
          <w:b/>
          <w:color w:val="000000" w:themeColor="text1"/>
        </w:rPr>
        <w:t>如认为招标文件存在含糊不清、相互矛盾、多种含义、歧视性不公正条款或违法违规等内容时，请最迟在投标截止日</w:t>
      </w:r>
      <w:r>
        <w:rPr>
          <w:rFonts w:hint="eastAsia" w:hAnsi="宋体"/>
          <w:b/>
          <w:color w:val="000000" w:themeColor="text1"/>
          <w:lang w:val="en-US" w:eastAsia="zh-CN"/>
        </w:rPr>
        <w:t>七</w:t>
      </w:r>
      <w:r>
        <w:rPr>
          <w:rFonts w:hint="eastAsia" w:hAnsi="宋体"/>
          <w:b/>
          <w:color w:val="000000" w:themeColor="text1"/>
        </w:rPr>
        <w:t>天前向招标代理机构书面反映，逾期不得再对招标文件的条款或内容提出质疑。对招标文件的异议应有法定代表人或其委托代理人签字，并盖投标人公章和注明日期。没有提出异议且又参与了该项目投标的投标人将被视为完全认同招标文件。</w:t>
      </w:r>
    </w:p>
    <w:p>
      <w:pPr>
        <w:pStyle w:val="18"/>
        <w:snapToGrid w:val="0"/>
        <w:spacing w:beforeLines="0" w:afterLines="0" w:line="360" w:lineRule="auto"/>
        <w:ind w:left="2" w:leftChars="1" w:firstLine="360" w:firstLineChars="150"/>
        <w:rPr>
          <w:rFonts w:hAnsi="宋体"/>
          <w:b/>
          <w:color w:val="000000" w:themeColor="text1"/>
        </w:rPr>
      </w:pPr>
      <w:r>
        <w:rPr>
          <w:rFonts w:hAnsi="宋体"/>
          <w:color w:val="000000" w:themeColor="text1"/>
        </w:rPr>
        <w:t>3.</w:t>
      </w:r>
      <w:r>
        <w:rPr>
          <w:rFonts w:hint="eastAsia" w:hAnsi="宋体"/>
          <w:color w:val="000000" w:themeColor="text1"/>
        </w:rPr>
        <w:t xml:space="preserve"> 经查询，投标人及法人代表或单位负责人，若有行贿犯罪的记录，将取消中标资格。</w:t>
      </w:r>
    </w:p>
    <w:p>
      <w:pPr>
        <w:pStyle w:val="18"/>
        <w:snapToGrid w:val="0"/>
        <w:spacing w:beforeLines="0" w:afterLines="0" w:line="360" w:lineRule="auto"/>
        <w:outlineLvl w:val="1"/>
        <w:rPr>
          <w:rFonts w:hAnsi="宋体"/>
          <w:b/>
          <w:bCs/>
          <w:color w:val="000000" w:themeColor="text1"/>
        </w:rPr>
      </w:pPr>
      <w:bookmarkStart w:id="69" w:name="_Toc436314545"/>
      <w:bookmarkStart w:id="70" w:name="_Toc429406708"/>
      <w:bookmarkStart w:id="71" w:name="_Toc454551074"/>
      <w:bookmarkStart w:id="72" w:name="_Toc355117103"/>
      <w:bookmarkStart w:id="73" w:name="_Toc427442458"/>
      <w:bookmarkStart w:id="74" w:name="_Toc444597096"/>
      <w:r>
        <w:rPr>
          <w:rFonts w:hAnsi="宋体"/>
          <w:b/>
          <w:bCs/>
          <w:color w:val="000000" w:themeColor="text1"/>
        </w:rPr>
        <w:t>（九）质疑和投诉</w:t>
      </w:r>
      <w:bookmarkEnd w:id="67"/>
      <w:bookmarkEnd w:id="68"/>
      <w:bookmarkEnd w:id="69"/>
      <w:bookmarkEnd w:id="70"/>
      <w:bookmarkEnd w:id="71"/>
      <w:bookmarkEnd w:id="72"/>
      <w:bookmarkEnd w:id="73"/>
      <w:bookmarkEnd w:id="74"/>
    </w:p>
    <w:p>
      <w:pPr>
        <w:pStyle w:val="18"/>
        <w:snapToGrid w:val="0"/>
        <w:spacing w:beforeLines="0" w:afterLines="0" w:line="360" w:lineRule="auto"/>
        <w:ind w:firstLine="468" w:firstLineChars="195"/>
        <w:rPr>
          <w:rFonts w:hAnsi="宋体"/>
          <w:bCs/>
          <w:color w:val="000000" w:themeColor="text1"/>
        </w:rPr>
      </w:pPr>
      <w:r>
        <w:rPr>
          <w:rFonts w:hAnsi="宋体"/>
          <w:bCs/>
          <w:color w:val="000000" w:themeColor="text1"/>
        </w:rPr>
        <w:t>1.投标人认为招标文件、招标过程或中标结果使自己的合法权益受到损害的，应当在知道或者应知其权益受到损害之日起</w:t>
      </w:r>
      <w:r>
        <w:rPr>
          <w:rFonts w:hint="eastAsia" w:hAnsi="宋体"/>
          <w:bCs/>
          <w:color w:val="000000" w:themeColor="text1"/>
        </w:rPr>
        <w:t>3</w:t>
      </w:r>
      <w:r>
        <w:rPr>
          <w:rFonts w:hAnsi="宋体"/>
          <w:bCs/>
          <w:color w:val="000000" w:themeColor="text1"/>
        </w:rPr>
        <w:t>个工作日内，以书面形式向招标人、招标代理机构提出质疑。</w:t>
      </w:r>
      <w:r>
        <w:rPr>
          <w:rFonts w:hint="eastAsia" w:hAnsi="宋体"/>
          <w:bCs/>
          <w:color w:val="000000" w:themeColor="text1"/>
        </w:rPr>
        <w:t>书面质疑文件应该有质疑单位的名称、公章、联系人姓名、联系电话、传真，否则视为无效质疑。</w:t>
      </w:r>
    </w:p>
    <w:p>
      <w:pPr>
        <w:pStyle w:val="18"/>
        <w:snapToGrid w:val="0"/>
        <w:spacing w:beforeLines="0" w:afterLines="0" w:line="360" w:lineRule="auto"/>
        <w:ind w:firstLine="468" w:firstLineChars="195"/>
        <w:rPr>
          <w:rFonts w:hAnsi="宋体"/>
          <w:bCs/>
          <w:color w:val="000000" w:themeColor="text1"/>
        </w:rPr>
      </w:pPr>
      <w:r>
        <w:rPr>
          <w:rFonts w:hAnsi="宋体"/>
          <w:bCs/>
          <w:color w:val="000000" w:themeColor="text1"/>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75" w:name="_Toc249866758"/>
    </w:p>
    <w:p>
      <w:pPr>
        <w:pStyle w:val="18"/>
        <w:snapToGrid w:val="0"/>
        <w:spacing w:beforeLines="0" w:afterLines="0" w:line="360" w:lineRule="auto"/>
        <w:rPr>
          <w:rFonts w:hAnsi="宋体"/>
          <w:b/>
          <w:color w:val="000000" w:themeColor="text1"/>
        </w:rPr>
      </w:pPr>
      <w:r>
        <w:rPr>
          <w:rFonts w:hAnsi="宋体"/>
          <w:b/>
          <w:color w:val="000000" w:themeColor="text1"/>
        </w:rPr>
        <w:t>二</w:t>
      </w:r>
      <w:r>
        <w:rPr>
          <w:rFonts w:hint="eastAsia" w:hAnsi="宋体"/>
          <w:b/>
          <w:color w:val="000000" w:themeColor="text1"/>
        </w:rPr>
        <w:t>、招标</w:t>
      </w:r>
      <w:r>
        <w:rPr>
          <w:rFonts w:hAnsi="宋体"/>
          <w:b/>
          <w:color w:val="000000" w:themeColor="text1"/>
        </w:rPr>
        <w:t>文件</w:t>
      </w:r>
      <w:bookmarkEnd w:id="75"/>
    </w:p>
    <w:p>
      <w:pPr>
        <w:snapToGrid w:val="0"/>
        <w:spacing w:line="360" w:lineRule="auto"/>
        <w:ind w:firstLine="472" w:firstLineChars="196"/>
        <w:jc w:val="left"/>
        <w:rPr>
          <w:rFonts w:ascii="宋体" w:hAnsi="宋体"/>
          <w:b/>
          <w:color w:val="000000" w:themeColor="text1"/>
          <w:sz w:val="24"/>
        </w:rPr>
      </w:pPr>
      <w:r>
        <w:rPr>
          <w:rFonts w:hint="eastAsia" w:ascii="宋体" w:hAnsi="宋体"/>
          <w:b/>
          <w:color w:val="000000" w:themeColor="text1"/>
          <w:sz w:val="24"/>
        </w:rPr>
        <w:t>（一）招标文件的构成。本招标文件由以下部份组成：</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第一章 招标公告</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第二章 招标项目要求</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第三章 投标人资料表</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 xml:space="preserve">第四章 </w:t>
      </w:r>
      <w:r>
        <w:rPr>
          <w:rFonts w:ascii="宋体" w:hAnsi="宋体"/>
          <w:color w:val="000000" w:themeColor="text1"/>
          <w:sz w:val="24"/>
        </w:rPr>
        <w:t>开标及评标办法</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第五章 定期存款存放协议</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 xml:space="preserve">第六章 </w:t>
      </w:r>
      <w:r>
        <w:rPr>
          <w:rFonts w:ascii="宋体" w:hAnsi="宋体"/>
          <w:color w:val="000000" w:themeColor="text1"/>
          <w:sz w:val="24"/>
        </w:rPr>
        <w:t>投标文件格式</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第七章 其他补充资料（</w:t>
      </w:r>
      <w:r>
        <w:rPr>
          <w:rFonts w:ascii="宋体" w:hAnsi="宋体"/>
          <w:color w:val="000000" w:themeColor="text1"/>
          <w:sz w:val="24"/>
        </w:rPr>
        <w:t>与本项目招标相关的澄清、答复、修改或补充招标文件</w:t>
      </w:r>
      <w:r>
        <w:rPr>
          <w:rFonts w:hint="eastAsia" w:ascii="宋体" w:hAnsi="宋体"/>
          <w:color w:val="000000" w:themeColor="text1"/>
          <w:sz w:val="24"/>
        </w:rPr>
        <w:t>）</w:t>
      </w:r>
    </w:p>
    <w:p>
      <w:pPr>
        <w:snapToGrid w:val="0"/>
        <w:spacing w:line="360" w:lineRule="auto"/>
        <w:ind w:firstLine="472" w:firstLineChars="196"/>
        <w:jc w:val="left"/>
        <w:rPr>
          <w:rFonts w:ascii="宋体" w:hAnsi="宋体"/>
          <w:b/>
          <w:color w:val="000000" w:themeColor="text1"/>
          <w:sz w:val="24"/>
        </w:rPr>
      </w:pPr>
      <w:r>
        <w:rPr>
          <w:rFonts w:hint="eastAsia" w:ascii="宋体" w:hAnsi="宋体"/>
          <w:b/>
          <w:color w:val="000000" w:themeColor="text1"/>
          <w:sz w:val="24"/>
        </w:rPr>
        <w:t>（二）投标人的风险</w:t>
      </w:r>
    </w:p>
    <w:p>
      <w:pPr>
        <w:pStyle w:val="18"/>
        <w:snapToGrid w:val="0"/>
        <w:spacing w:beforeLines="0" w:afterLines="0" w:line="360" w:lineRule="auto"/>
        <w:ind w:firstLine="480" w:firstLineChars="200"/>
        <w:rPr>
          <w:rFonts w:hAnsi="宋体"/>
          <w:color w:val="000000" w:themeColor="text1"/>
        </w:rPr>
      </w:pPr>
      <w:r>
        <w:rPr>
          <w:rFonts w:hint="eastAsia" w:hAnsi="宋体"/>
          <w:color w:val="000000" w:themeColor="text1"/>
        </w:rPr>
        <w:t>投标人没有按照招标文件要求提供全部资料，或者投标人没有对招标文件在各方面做出实质性响应是投标人的风险，并可能导致其投标被拒绝。</w:t>
      </w:r>
    </w:p>
    <w:p>
      <w:pPr>
        <w:snapToGrid w:val="0"/>
        <w:spacing w:line="360" w:lineRule="auto"/>
        <w:ind w:firstLine="472" w:firstLineChars="196"/>
        <w:jc w:val="left"/>
        <w:rPr>
          <w:rFonts w:ascii="宋体" w:hAnsi="宋体"/>
          <w:b/>
          <w:color w:val="000000" w:themeColor="text1"/>
          <w:sz w:val="24"/>
        </w:rPr>
      </w:pPr>
      <w:r>
        <w:rPr>
          <w:rFonts w:hint="eastAsia" w:ascii="宋体" w:hAnsi="宋体"/>
          <w:b/>
          <w:color w:val="000000" w:themeColor="text1"/>
          <w:sz w:val="24"/>
        </w:rPr>
        <w:t xml:space="preserve">（三）招标文件的澄清与修改 </w:t>
      </w:r>
    </w:p>
    <w:p>
      <w:pPr>
        <w:pStyle w:val="18"/>
        <w:snapToGrid w:val="0"/>
        <w:spacing w:beforeLines="0" w:afterLines="0" w:line="360" w:lineRule="auto"/>
        <w:ind w:firstLine="468" w:firstLineChars="195"/>
        <w:rPr>
          <w:rFonts w:hAnsi="宋体"/>
          <w:bCs/>
          <w:color w:val="000000" w:themeColor="text1"/>
        </w:rPr>
      </w:pPr>
      <w:r>
        <w:rPr>
          <w:rFonts w:hAnsi="宋体"/>
          <w:bCs/>
          <w:color w:val="000000" w:themeColor="text1"/>
        </w:rPr>
        <w:t>1.投标人应认真阅读本招标文件，发现其中有误或有不合理要求的，投标人</w:t>
      </w:r>
      <w:r>
        <w:rPr>
          <w:rFonts w:hint="eastAsia" w:hAnsi="宋体"/>
          <w:bCs/>
          <w:color w:val="000000" w:themeColor="text1"/>
        </w:rPr>
        <w:t>应在投标截止时间</w:t>
      </w:r>
      <w:r>
        <w:rPr>
          <w:rFonts w:hint="eastAsia" w:hAnsi="宋体"/>
          <w:bCs/>
          <w:color w:val="000000" w:themeColor="text1"/>
          <w:lang w:val="en-US" w:eastAsia="zh-CN"/>
        </w:rPr>
        <w:t>7</w:t>
      </w:r>
      <w:r>
        <w:rPr>
          <w:rFonts w:hint="eastAsia" w:hAnsi="宋体"/>
          <w:bCs/>
          <w:color w:val="000000" w:themeColor="text1"/>
        </w:rPr>
        <w:t>日前</w:t>
      </w:r>
      <w:r>
        <w:rPr>
          <w:rFonts w:hAnsi="宋体"/>
          <w:bCs/>
          <w:color w:val="000000" w:themeColor="text1"/>
        </w:rPr>
        <w:t>以书面形式要求招标单位澄清。招标代理机构对已发出的招标文件进行必要澄清、答复、修改或补充的，应当在招标文件要求提交投标文件截止时间</w:t>
      </w:r>
      <w:r>
        <w:rPr>
          <w:rFonts w:hint="eastAsia" w:hAnsi="宋体"/>
          <w:bCs/>
          <w:color w:val="000000" w:themeColor="text1"/>
        </w:rPr>
        <w:t>15</w:t>
      </w:r>
      <w:r>
        <w:rPr>
          <w:rFonts w:hAnsi="宋体"/>
          <w:bCs/>
          <w:color w:val="000000" w:themeColor="text1"/>
        </w:rPr>
        <w:t>日前，以书面形式通知所有招标文件收受人。</w:t>
      </w:r>
    </w:p>
    <w:p>
      <w:pPr>
        <w:pStyle w:val="18"/>
        <w:snapToGrid w:val="0"/>
        <w:spacing w:beforeLines="0" w:afterLines="0" w:line="360" w:lineRule="auto"/>
        <w:ind w:firstLine="468" w:firstLineChars="195"/>
        <w:rPr>
          <w:rFonts w:hAnsi="宋体"/>
          <w:bCs/>
          <w:color w:val="000000" w:themeColor="text1"/>
        </w:rPr>
      </w:pPr>
      <w:r>
        <w:rPr>
          <w:rFonts w:hAnsi="宋体"/>
          <w:bCs/>
          <w:color w:val="000000" w:themeColor="text1"/>
        </w:rPr>
        <w:t>2.招标代理机构必须以书面形式答复投标人要求澄清的问题，并将不包含问题来源的答复书面通知所有购买招标文件的投标人；除书面答复以外的其他澄清方式及澄清内容均无效。</w:t>
      </w:r>
    </w:p>
    <w:p>
      <w:pPr>
        <w:pStyle w:val="18"/>
        <w:snapToGrid w:val="0"/>
        <w:spacing w:beforeLines="0" w:afterLines="0" w:line="360" w:lineRule="auto"/>
        <w:ind w:firstLine="468" w:firstLineChars="195"/>
        <w:rPr>
          <w:rFonts w:hAnsi="宋体"/>
          <w:bCs/>
          <w:color w:val="000000" w:themeColor="text1"/>
        </w:rPr>
      </w:pPr>
      <w:r>
        <w:rPr>
          <w:rFonts w:hAnsi="宋体"/>
          <w:bCs/>
          <w:color w:val="000000" w:themeColor="text1"/>
        </w:rPr>
        <w:t>3.招标文件澄清、答复、修改、补充的内容为招标文件的组成部分。当招标文件与招标文件的答复、澄清、修改、补充通知就同一内容的表述不一致时，以最后发出的书面文件为准。</w:t>
      </w:r>
    </w:p>
    <w:p>
      <w:pPr>
        <w:pStyle w:val="18"/>
        <w:snapToGrid w:val="0"/>
        <w:spacing w:beforeLines="0" w:afterLines="0" w:line="360" w:lineRule="auto"/>
        <w:ind w:firstLine="468" w:firstLineChars="195"/>
        <w:rPr>
          <w:rFonts w:hAnsi="宋体"/>
          <w:bCs/>
          <w:color w:val="000000" w:themeColor="text1"/>
        </w:rPr>
      </w:pPr>
      <w:r>
        <w:rPr>
          <w:rFonts w:hAnsi="宋体"/>
          <w:bCs/>
          <w:color w:val="000000" w:themeColor="text1"/>
        </w:rPr>
        <w:t>4.招标文件的澄清、答复、修改或补充都应该通过本代理机构以法定形式发布，招标人非通过本机构，不得擅自澄清、答复、修改或补充招标文件。</w:t>
      </w:r>
    </w:p>
    <w:p>
      <w:pPr>
        <w:pStyle w:val="18"/>
        <w:snapToGrid w:val="0"/>
        <w:spacing w:beforeLines="0" w:afterLines="0" w:line="360" w:lineRule="auto"/>
        <w:rPr>
          <w:rFonts w:hAnsi="宋体"/>
          <w:b/>
          <w:color w:val="000000" w:themeColor="text1"/>
        </w:rPr>
      </w:pPr>
      <w:bookmarkStart w:id="76" w:name="_Toc249866759"/>
      <w:r>
        <w:rPr>
          <w:rFonts w:hAnsi="宋体"/>
          <w:b/>
          <w:color w:val="000000" w:themeColor="text1"/>
        </w:rPr>
        <w:t>三</w:t>
      </w:r>
      <w:r>
        <w:rPr>
          <w:rFonts w:hint="eastAsia" w:hAnsi="宋体"/>
          <w:b/>
          <w:color w:val="000000" w:themeColor="text1"/>
        </w:rPr>
        <w:t>、</w:t>
      </w:r>
      <w:r>
        <w:rPr>
          <w:rFonts w:hAnsi="宋体"/>
          <w:b/>
          <w:color w:val="000000" w:themeColor="text1"/>
        </w:rPr>
        <w:t>投标文件的编制</w:t>
      </w:r>
      <w:bookmarkEnd w:id="76"/>
    </w:p>
    <w:p>
      <w:pPr>
        <w:snapToGrid w:val="0"/>
        <w:spacing w:line="360" w:lineRule="auto"/>
        <w:ind w:firstLine="472" w:firstLineChars="196"/>
        <w:jc w:val="left"/>
        <w:outlineLvl w:val="0"/>
        <w:rPr>
          <w:rFonts w:ascii="宋体" w:hAnsi="宋体"/>
          <w:b/>
          <w:color w:val="000000" w:themeColor="text1"/>
          <w:sz w:val="24"/>
        </w:rPr>
      </w:pPr>
      <w:bookmarkStart w:id="77" w:name="_Toc249866760"/>
      <w:bookmarkStart w:id="78" w:name="_Toc429406709"/>
      <w:bookmarkStart w:id="79" w:name="_Toc427442459"/>
      <w:bookmarkStart w:id="80" w:name="_Toc259108316"/>
      <w:bookmarkStart w:id="81" w:name="_Toc444597097"/>
      <w:bookmarkStart w:id="82" w:name="_Toc454551075"/>
      <w:bookmarkStart w:id="83" w:name="_Toc355117104"/>
      <w:bookmarkStart w:id="84" w:name="_Toc436314546"/>
      <w:r>
        <w:rPr>
          <w:rFonts w:ascii="宋体" w:hAnsi="宋体"/>
          <w:b/>
          <w:color w:val="000000" w:themeColor="text1"/>
          <w:sz w:val="24"/>
        </w:rPr>
        <w:t>（一）投标文件的组成</w:t>
      </w:r>
      <w:bookmarkEnd w:id="77"/>
      <w:bookmarkEnd w:id="78"/>
      <w:bookmarkEnd w:id="79"/>
      <w:bookmarkEnd w:id="80"/>
      <w:bookmarkEnd w:id="81"/>
      <w:bookmarkEnd w:id="82"/>
      <w:bookmarkEnd w:id="83"/>
      <w:bookmarkEnd w:id="84"/>
    </w:p>
    <w:p>
      <w:pPr>
        <w:snapToGrid w:val="0"/>
        <w:spacing w:line="360" w:lineRule="auto"/>
        <w:ind w:firstLine="472" w:firstLineChars="196"/>
        <w:jc w:val="left"/>
        <w:outlineLvl w:val="0"/>
        <w:rPr>
          <w:rFonts w:ascii="宋体" w:hAnsi="宋体"/>
          <w:b/>
          <w:color w:val="000000" w:themeColor="text1"/>
          <w:sz w:val="24"/>
        </w:rPr>
      </w:pPr>
      <w:bookmarkStart w:id="85" w:name="_Toc454551076"/>
      <w:bookmarkStart w:id="86" w:name="_Toc436314547"/>
      <w:bookmarkStart w:id="87" w:name="_Toc427442460"/>
      <w:bookmarkStart w:id="88" w:name="_Toc444597098"/>
      <w:bookmarkStart w:id="89" w:name="_Toc429406710"/>
      <w:r>
        <w:rPr>
          <w:rFonts w:hint="eastAsia" w:ascii="宋体" w:hAnsi="宋体"/>
          <w:b/>
          <w:color w:val="000000" w:themeColor="text1"/>
          <w:sz w:val="24"/>
        </w:rPr>
        <w:t>1、投标文件包括以下内容：</w:t>
      </w:r>
      <w:bookmarkEnd w:id="85"/>
      <w:bookmarkEnd w:id="86"/>
      <w:bookmarkEnd w:id="87"/>
      <w:bookmarkEnd w:id="88"/>
      <w:bookmarkEnd w:id="89"/>
    </w:p>
    <w:p>
      <w:pPr>
        <w:pStyle w:val="18"/>
        <w:snapToGrid w:val="0"/>
        <w:spacing w:beforeLines="0" w:afterLines="0" w:line="360" w:lineRule="auto"/>
        <w:ind w:firstLine="468" w:firstLineChars="195"/>
        <w:rPr>
          <w:rFonts w:hAnsi="宋体"/>
          <w:bCs/>
          <w:color w:val="000000" w:themeColor="text1"/>
        </w:rPr>
      </w:pPr>
      <w:r>
        <w:rPr>
          <w:rFonts w:hint="eastAsia" w:hAnsi="宋体"/>
          <w:bCs/>
          <w:color w:val="000000" w:themeColor="text1"/>
        </w:rPr>
        <w:t>（1）投标声明书；</w:t>
      </w:r>
    </w:p>
    <w:p>
      <w:pPr>
        <w:pStyle w:val="18"/>
        <w:snapToGrid w:val="0"/>
        <w:spacing w:beforeLines="0" w:afterLines="0" w:line="360" w:lineRule="auto"/>
        <w:ind w:firstLine="468" w:firstLineChars="195"/>
        <w:rPr>
          <w:rFonts w:hAnsi="宋体"/>
          <w:bCs/>
          <w:color w:val="000000" w:themeColor="text1"/>
        </w:rPr>
      </w:pPr>
      <w:r>
        <w:rPr>
          <w:rFonts w:hint="eastAsia" w:hAnsi="宋体"/>
          <w:bCs/>
          <w:color w:val="000000" w:themeColor="text1"/>
        </w:rPr>
        <w:t>（2）投标报价一览表；</w:t>
      </w:r>
    </w:p>
    <w:p>
      <w:pPr>
        <w:pStyle w:val="18"/>
        <w:snapToGrid w:val="0"/>
        <w:spacing w:beforeLines="0" w:afterLines="0" w:line="360" w:lineRule="auto"/>
        <w:ind w:firstLine="468" w:firstLineChars="195"/>
        <w:rPr>
          <w:rFonts w:hAnsi="宋体"/>
          <w:bCs/>
          <w:color w:val="000000" w:themeColor="text1"/>
        </w:rPr>
      </w:pPr>
      <w:r>
        <w:rPr>
          <w:rFonts w:hint="eastAsia" w:hAnsi="宋体"/>
          <w:bCs/>
          <w:color w:val="000000" w:themeColor="text1"/>
        </w:rPr>
        <w:t>（3）法定代表人身份证明书或法定代表人/分行负责人授权委托书；</w:t>
      </w:r>
    </w:p>
    <w:p>
      <w:pPr>
        <w:autoSpaceDE w:val="0"/>
        <w:autoSpaceDN w:val="0"/>
        <w:snapToGrid w:val="0"/>
        <w:spacing w:line="360" w:lineRule="auto"/>
        <w:ind w:firstLine="420" w:firstLineChars="200"/>
        <w:textAlignment w:val="bottom"/>
        <w:rPr>
          <w:rFonts w:ascii="宋体" w:hAnsi="宋体" w:cs="宋体"/>
          <w:color w:val="000000" w:themeColor="text1"/>
          <w:sz w:val="24"/>
        </w:rPr>
      </w:pPr>
      <w:r>
        <w:rPr>
          <w:rFonts w:hint="eastAsia" w:hAnsi="宋体"/>
          <w:bCs/>
          <w:color w:val="000000" w:themeColor="text1"/>
        </w:rPr>
        <w:t>（4）</w:t>
      </w:r>
      <w:r>
        <w:rPr>
          <w:rFonts w:hint="eastAsia" w:ascii="宋体" w:hAnsi="宋体" w:cs="宋体"/>
          <w:color w:val="000000" w:themeColor="text1"/>
          <w:sz w:val="24"/>
        </w:rPr>
        <w:t>投标人声明书、投标人近三年在经营活动中没有重大违法记录的书面声明</w:t>
      </w:r>
    </w:p>
    <w:p>
      <w:pPr>
        <w:pStyle w:val="18"/>
        <w:snapToGrid w:val="0"/>
        <w:spacing w:beforeLines="0" w:afterLines="0" w:line="360" w:lineRule="auto"/>
        <w:ind w:firstLine="468" w:firstLineChars="195"/>
        <w:rPr>
          <w:rFonts w:hAnsi="宋体"/>
          <w:bCs/>
          <w:color w:val="000000" w:themeColor="text1"/>
        </w:rPr>
      </w:pPr>
      <w:r>
        <w:rPr>
          <w:rFonts w:hint="eastAsia" w:hAnsi="宋体" w:cs="宋体"/>
          <w:color w:val="000000" w:themeColor="text1"/>
        </w:rPr>
        <w:t>声明函；</w:t>
      </w:r>
    </w:p>
    <w:p>
      <w:pPr>
        <w:pStyle w:val="18"/>
        <w:snapToGrid w:val="0"/>
        <w:spacing w:beforeLines="0" w:afterLines="0" w:line="360" w:lineRule="auto"/>
        <w:ind w:firstLine="468" w:firstLineChars="195"/>
        <w:rPr>
          <w:rFonts w:hAnsi="宋体"/>
          <w:bCs/>
          <w:color w:val="000000" w:themeColor="text1"/>
        </w:rPr>
      </w:pPr>
      <w:r>
        <w:rPr>
          <w:rFonts w:hint="eastAsia" w:hAnsi="宋体"/>
          <w:bCs/>
          <w:color w:val="000000" w:themeColor="text1"/>
        </w:rPr>
        <w:t>（5）投标人资格证明文件；</w:t>
      </w:r>
    </w:p>
    <w:p>
      <w:pPr>
        <w:pStyle w:val="18"/>
        <w:snapToGrid w:val="0"/>
        <w:spacing w:beforeLines="0" w:afterLines="0" w:line="360" w:lineRule="auto"/>
        <w:ind w:firstLine="468" w:firstLineChars="195"/>
        <w:rPr>
          <w:rFonts w:hAnsi="宋体"/>
          <w:bCs/>
          <w:color w:val="000000" w:themeColor="text1"/>
        </w:rPr>
      </w:pPr>
      <w:r>
        <w:rPr>
          <w:rFonts w:hint="eastAsia" w:hAnsi="宋体"/>
          <w:bCs/>
          <w:color w:val="000000" w:themeColor="text1"/>
        </w:rPr>
        <w:t>（6）根据第四章评分标准中的内容提供相应的资料；</w:t>
      </w:r>
    </w:p>
    <w:p>
      <w:pPr>
        <w:pStyle w:val="18"/>
        <w:snapToGrid w:val="0"/>
        <w:spacing w:beforeLines="0" w:afterLines="0" w:line="360" w:lineRule="auto"/>
        <w:ind w:firstLine="468" w:firstLineChars="195"/>
        <w:rPr>
          <w:rFonts w:hAnsi="宋体"/>
          <w:bCs/>
          <w:color w:val="000000" w:themeColor="text1"/>
        </w:rPr>
      </w:pPr>
      <w:r>
        <w:rPr>
          <w:rFonts w:hint="eastAsia" w:hAnsi="宋体"/>
          <w:bCs/>
          <w:color w:val="000000" w:themeColor="text1"/>
        </w:rPr>
        <w:t>（7）投标人认为需提供的其他资料。</w:t>
      </w:r>
    </w:p>
    <w:p>
      <w:pPr>
        <w:adjustRightInd w:val="0"/>
        <w:snapToGrid w:val="0"/>
        <w:spacing w:line="360" w:lineRule="auto"/>
        <w:ind w:firstLine="600" w:firstLineChars="249"/>
        <w:rPr>
          <w:rFonts w:ascii="宋体" w:hAnsi="宋体"/>
          <w:b/>
          <w:bCs/>
          <w:color w:val="000000" w:themeColor="text1"/>
          <w:sz w:val="24"/>
        </w:rPr>
      </w:pPr>
      <w:r>
        <w:rPr>
          <w:rFonts w:ascii="宋体" w:hAnsi="宋体"/>
          <w:b/>
          <w:bCs/>
          <w:color w:val="000000" w:themeColor="text1"/>
          <w:sz w:val="24"/>
        </w:rPr>
        <w:t>2</w:t>
      </w:r>
      <w:r>
        <w:rPr>
          <w:rFonts w:hint="eastAsia" w:ascii="宋体" w:hAnsi="宋体"/>
          <w:b/>
          <w:bCs/>
          <w:color w:val="000000" w:themeColor="text1"/>
          <w:sz w:val="24"/>
        </w:rPr>
        <w:t>、投标文件的形式和效力</w:t>
      </w:r>
    </w:p>
    <w:p>
      <w:pPr>
        <w:adjustRightInd w:val="0"/>
        <w:snapToGrid w:val="0"/>
        <w:spacing w:line="360" w:lineRule="auto"/>
        <w:ind w:firstLine="597" w:firstLineChars="249"/>
        <w:rPr>
          <w:rFonts w:ascii="宋体" w:hAnsi="宋体"/>
          <w:bCs/>
          <w:color w:val="000000" w:themeColor="text1"/>
          <w:sz w:val="24"/>
        </w:rPr>
      </w:pPr>
      <w:r>
        <w:rPr>
          <w:rFonts w:hint="eastAsia" w:ascii="宋体" w:hAnsi="宋体"/>
          <w:bCs/>
          <w:color w:val="000000" w:themeColor="text1"/>
          <w:sz w:val="24"/>
        </w:rPr>
        <w:t>（1）投标文件分为电子投标文件以及备份投标文件，备份投标文件为以 U 盘存储的电子备份投标文件。</w:t>
      </w:r>
    </w:p>
    <w:p>
      <w:pPr>
        <w:adjustRightInd w:val="0"/>
        <w:snapToGrid w:val="0"/>
        <w:spacing w:line="360" w:lineRule="auto"/>
        <w:ind w:firstLine="597" w:firstLineChars="249"/>
        <w:rPr>
          <w:rFonts w:ascii="宋体" w:hAnsi="宋体"/>
          <w:bCs/>
          <w:color w:val="000000" w:themeColor="text1"/>
          <w:sz w:val="24"/>
        </w:rPr>
      </w:pPr>
      <w:r>
        <w:rPr>
          <w:rFonts w:hint="eastAsia" w:ascii="宋体" w:hAnsi="宋体"/>
          <w:bCs/>
          <w:color w:val="000000" w:themeColor="text1"/>
          <w:sz w:val="24"/>
        </w:rPr>
        <w:t>（2）电子投标文件，按“</w:t>
      </w:r>
      <w:r>
        <w:rPr>
          <w:rFonts w:hint="eastAsia" w:ascii="宋体" w:hAnsi="宋体"/>
          <w:bCs/>
          <w:color w:val="000000" w:themeColor="text1"/>
          <w:sz w:val="24"/>
          <w:lang w:eastAsia="zh-CN"/>
        </w:rPr>
        <w:t>政采云</w:t>
      </w:r>
      <w:r>
        <w:rPr>
          <w:rFonts w:hint="eastAsia" w:ascii="宋体" w:hAnsi="宋体"/>
          <w:bCs/>
          <w:color w:val="000000" w:themeColor="text1"/>
          <w:sz w:val="24"/>
        </w:rPr>
        <w:t xml:space="preserve">供应商项目采购-电子招投标操作指南”及本招标文件要求制作并递交。 </w:t>
      </w:r>
    </w:p>
    <w:p>
      <w:pPr>
        <w:adjustRightInd w:val="0"/>
        <w:snapToGrid w:val="0"/>
        <w:spacing w:line="360" w:lineRule="auto"/>
        <w:ind w:firstLine="597" w:firstLineChars="249"/>
        <w:rPr>
          <w:rFonts w:ascii="宋体" w:hAnsi="宋体"/>
          <w:bCs/>
          <w:color w:val="000000" w:themeColor="text1"/>
          <w:sz w:val="24"/>
        </w:rPr>
      </w:pPr>
      <w:r>
        <w:rPr>
          <w:rFonts w:hint="eastAsia" w:ascii="宋体" w:hAnsi="宋体"/>
          <w:bCs/>
          <w:color w:val="000000" w:themeColor="text1"/>
          <w:sz w:val="24"/>
        </w:rPr>
        <w:t>（3）以 U 盘存储的电子备份投标文件，须按“</w:t>
      </w:r>
      <w:r>
        <w:rPr>
          <w:rFonts w:hint="eastAsia" w:ascii="宋体" w:hAnsi="宋体"/>
          <w:bCs/>
          <w:color w:val="000000" w:themeColor="text1"/>
          <w:sz w:val="24"/>
          <w:lang w:eastAsia="zh-CN"/>
        </w:rPr>
        <w:t>政采云</w:t>
      </w:r>
      <w:r>
        <w:rPr>
          <w:rFonts w:hint="eastAsia" w:ascii="宋体" w:hAnsi="宋体"/>
          <w:bCs/>
          <w:color w:val="000000" w:themeColor="text1"/>
          <w:sz w:val="24"/>
        </w:rPr>
        <w:t>供应商项目采购-电子招投标操作指南”制作的备份文件。因 U 盘损坏无法正常获取电子备份文件或 U 盘存储的电子备份投标文件格式原因未能成功读取，一切责任由投标人自行负责。</w:t>
      </w:r>
    </w:p>
    <w:p>
      <w:pPr>
        <w:pStyle w:val="28"/>
        <w:spacing w:after="0" w:line="360" w:lineRule="auto"/>
        <w:ind w:firstLine="240" w:firstLineChars="100"/>
        <w:rPr>
          <w:rFonts w:ascii="宋体" w:hAnsi="宋体"/>
          <w:color w:val="000000" w:themeColor="text1"/>
          <w:sz w:val="24"/>
        </w:rPr>
      </w:pPr>
      <w:r>
        <w:rPr>
          <w:rFonts w:ascii="宋体" w:hAnsi="宋体"/>
          <w:color w:val="000000" w:themeColor="text1"/>
          <w:sz w:val="24"/>
        </w:rPr>
        <w:t>▲</w:t>
      </w:r>
      <w:r>
        <w:rPr>
          <w:rFonts w:ascii="宋体" w:hAnsi="宋体"/>
          <w:b/>
          <w:bCs/>
          <w:color w:val="000000" w:themeColor="text1"/>
          <w:sz w:val="24"/>
        </w:rPr>
        <w:t>注：</w:t>
      </w:r>
      <w:r>
        <w:rPr>
          <w:rFonts w:hint="eastAsia" w:ascii="宋体" w:hAnsi="宋体"/>
          <w:b/>
          <w:bCs/>
          <w:color w:val="000000" w:themeColor="text1"/>
          <w:sz w:val="24"/>
        </w:rPr>
        <w:t>电子投标文件中所须加盖公章部分均采用 CA 签章。</w:t>
      </w:r>
    </w:p>
    <w:p>
      <w:pPr>
        <w:snapToGrid w:val="0"/>
        <w:spacing w:line="360" w:lineRule="auto"/>
        <w:ind w:firstLine="472" w:firstLineChars="196"/>
        <w:jc w:val="left"/>
        <w:outlineLvl w:val="0"/>
        <w:rPr>
          <w:rFonts w:ascii="宋体" w:hAnsi="宋体"/>
          <w:b/>
          <w:color w:val="000000" w:themeColor="text1"/>
          <w:sz w:val="24"/>
        </w:rPr>
      </w:pPr>
      <w:bookmarkStart w:id="90" w:name="_Toc355117105"/>
      <w:bookmarkStart w:id="91" w:name="_Toc427442461"/>
      <w:bookmarkStart w:id="92" w:name="_Toc249866761"/>
      <w:bookmarkStart w:id="93" w:name="_Toc259108317"/>
      <w:bookmarkStart w:id="94" w:name="_Toc436314548"/>
      <w:bookmarkStart w:id="95" w:name="_Toc444597099"/>
      <w:bookmarkStart w:id="96" w:name="_Toc429406711"/>
      <w:bookmarkStart w:id="97" w:name="_Toc454551077"/>
      <w:r>
        <w:rPr>
          <w:rFonts w:hint="eastAsia" w:ascii="宋体" w:hAnsi="宋体"/>
          <w:b/>
          <w:color w:val="000000" w:themeColor="text1"/>
          <w:sz w:val="24"/>
        </w:rPr>
        <w:t>（二）投标文件的语言及计量</w:t>
      </w:r>
      <w:bookmarkEnd w:id="90"/>
      <w:bookmarkEnd w:id="91"/>
      <w:bookmarkEnd w:id="92"/>
      <w:bookmarkEnd w:id="93"/>
      <w:bookmarkEnd w:id="94"/>
      <w:bookmarkEnd w:id="95"/>
      <w:bookmarkEnd w:id="96"/>
      <w:bookmarkEnd w:id="97"/>
    </w:p>
    <w:p>
      <w:pPr>
        <w:snapToGrid w:val="0"/>
        <w:spacing w:line="360" w:lineRule="auto"/>
        <w:ind w:firstLine="240" w:firstLineChars="100"/>
        <w:jc w:val="left"/>
        <w:rPr>
          <w:rFonts w:ascii="宋体" w:hAnsi="宋体"/>
          <w:color w:val="000000" w:themeColor="text1"/>
          <w:sz w:val="24"/>
        </w:rPr>
      </w:pPr>
      <w:r>
        <w:rPr>
          <w:rFonts w:ascii="宋体" w:hAnsi="宋体"/>
          <w:color w:val="000000" w:themeColor="text1"/>
          <w:sz w:val="24"/>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auto"/>
        <w:ind w:firstLine="240" w:firstLineChars="100"/>
        <w:jc w:val="left"/>
        <w:rPr>
          <w:rFonts w:ascii="宋体" w:hAnsi="宋体"/>
          <w:color w:val="000000" w:themeColor="text1"/>
          <w:sz w:val="24"/>
        </w:rPr>
      </w:pPr>
      <w:r>
        <w:rPr>
          <w:rFonts w:ascii="宋体" w:hAnsi="宋体"/>
          <w:color w:val="000000" w:themeColor="text1"/>
          <w:sz w:val="24"/>
        </w:rPr>
        <w:t>▲2.投标计量单位，招标文件已有明确规定的，使用招标文件规定的计量单位；招标文件没有规定的，应采用中华人民共和国法定计量单位，否则视同未响应。</w:t>
      </w:r>
    </w:p>
    <w:p>
      <w:pPr>
        <w:snapToGrid w:val="0"/>
        <w:spacing w:line="360" w:lineRule="auto"/>
        <w:ind w:firstLine="472" w:firstLineChars="196"/>
        <w:jc w:val="left"/>
        <w:outlineLvl w:val="0"/>
        <w:rPr>
          <w:rFonts w:ascii="宋体" w:hAnsi="宋体"/>
          <w:b/>
          <w:color w:val="000000" w:themeColor="text1"/>
          <w:sz w:val="24"/>
        </w:rPr>
      </w:pPr>
      <w:bookmarkStart w:id="98" w:name="_Toc249866766"/>
      <w:bookmarkStart w:id="99" w:name="_Toc427442462"/>
      <w:bookmarkStart w:id="100" w:name="_Toc444597100"/>
      <w:bookmarkStart w:id="101" w:name="_Toc436314549"/>
      <w:bookmarkStart w:id="102" w:name="_Toc454551078"/>
      <w:bookmarkStart w:id="103" w:name="_Toc429406712"/>
      <w:bookmarkStart w:id="104" w:name="_Toc355117107"/>
      <w:bookmarkStart w:id="105" w:name="_Toc259108322"/>
      <w:r>
        <w:rPr>
          <w:rFonts w:hint="eastAsia" w:ascii="宋体" w:hAnsi="宋体"/>
          <w:b/>
          <w:color w:val="000000" w:themeColor="text1"/>
          <w:sz w:val="24"/>
        </w:rPr>
        <w:t>（三）投标文件的签署和份数</w:t>
      </w:r>
      <w:bookmarkEnd w:id="98"/>
      <w:bookmarkEnd w:id="99"/>
      <w:bookmarkEnd w:id="100"/>
      <w:bookmarkEnd w:id="101"/>
      <w:bookmarkEnd w:id="102"/>
      <w:bookmarkEnd w:id="103"/>
      <w:bookmarkEnd w:id="104"/>
      <w:bookmarkEnd w:id="105"/>
    </w:p>
    <w:p>
      <w:pPr>
        <w:snapToGrid w:val="0"/>
        <w:spacing w:line="360" w:lineRule="auto"/>
        <w:ind w:firstLine="480" w:firstLineChars="200"/>
        <w:jc w:val="left"/>
        <w:rPr>
          <w:rFonts w:ascii="宋体" w:hAnsi="宋体"/>
          <w:color w:val="000000" w:themeColor="text1"/>
          <w:sz w:val="24"/>
        </w:rPr>
      </w:pPr>
      <w:r>
        <w:rPr>
          <w:rFonts w:ascii="宋体" w:hAnsi="宋体"/>
          <w:color w:val="000000" w:themeColor="text1"/>
          <w:sz w:val="24"/>
        </w:rPr>
        <w:t>1.投标人应按本招标文件规定的格式和顺序编制、装订投标文件并标注页码，投标文件内容不完整、编排混乱导致投标文件被误读、漏读或者查找不到相关内容的，是投标人的责任。</w:t>
      </w:r>
    </w:p>
    <w:p>
      <w:pPr>
        <w:snapToGrid w:val="0"/>
        <w:spacing w:line="360" w:lineRule="auto"/>
        <w:ind w:firstLine="480" w:firstLineChars="200"/>
        <w:jc w:val="left"/>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 xml:space="preserve"> 投标文件的形式</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（1）上传到</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的电子投标文件。</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（2）以 U 盘形式存储的电子备份投标文件。</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注：（1）电子备份投标文件不作实质性要求，是否提交由投标人自行决定。</w:t>
      </w:r>
    </w:p>
    <w:p>
      <w:pPr>
        <w:snapToGrid w:val="0"/>
        <w:spacing w:line="360" w:lineRule="auto"/>
        <w:ind w:firstLine="480" w:firstLineChars="200"/>
        <w:jc w:val="left"/>
        <w:rPr>
          <w:rFonts w:ascii="宋体" w:hAnsi="宋体"/>
          <w:color w:val="000000" w:themeColor="text1"/>
          <w:sz w:val="24"/>
        </w:rPr>
      </w:pPr>
      <w:r>
        <w:rPr>
          <w:rFonts w:hint="eastAsia" w:ascii="宋体" w:hAnsi="宋体" w:cs="宋体"/>
          <w:bCs/>
          <w:color w:val="000000" w:themeColor="text1"/>
          <w:sz w:val="24"/>
        </w:rPr>
        <w:t>（2）投标人需在</w:t>
      </w:r>
      <w:r>
        <w:rPr>
          <w:rFonts w:hint="eastAsia" w:ascii="宋体" w:hAnsi="宋体"/>
          <w:color w:val="000000" w:themeColor="text1"/>
          <w:sz w:val="24"/>
        </w:rPr>
        <w:t>202</w:t>
      </w:r>
      <w:r>
        <w:rPr>
          <w:rFonts w:hint="eastAsia" w:ascii="宋体" w:hAnsi="宋体"/>
          <w:color w:val="000000" w:themeColor="text1"/>
          <w:sz w:val="24"/>
          <w:lang w:val="en-US" w:eastAsia="zh-CN"/>
        </w:rPr>
        <w:t>6</w:t>
      </w:r>
      <w:r>
        <w:rPr>
          <w:rFonts w:hint="eastAsia" w:ascii="宋体" w:hAnsi="宋体"/>
          <w:color w:val="000000" w:themeColor="text1"/>
          <w:sz w:val="24"/>
        </w:rPr>
        <w:t>年</w:t>
      </w:r>
      <w:r>
        <w:rPr>
          <w:rFonts w:hint="eastAsia" w:ascii="宋体" w:hAnsi="宋体"/>
          <w:color w:val="000000" w:themeColor="text1"/>
          <w:sz w:val="24"/>
          <w:lang w:val="en-US" w:eastAsia="zh-CN"/>
        </w:rPr>
        <w:t>7</w:t>
      </w:r>
      <w:r>
        <w:rPr>
          <w:rFonts w:hint="eastAsia" w:ascii="宋体" w:hAnsi="宋体"/>
          <w:color w:val="000000" w:themeColor="text1"/>
          <w:sz w:val="24"/>
        </w:rPr>
        <w:t>月</w:t>
      </w:r>
      <w:r>
        <w:rPr>
          <w:rFonts w:hint="eastAsia" w:ascii="宋体" w:hAnsi="宋体"/>
          <w:color w:val="000000" w:themeColor="text1"/>
          <w:sz w:val="24"/>
          <w:lang w:val="en-US" w:eastAsia="zh-CN"/>
        </w:rPr>
        <w:t>17</w:t>
      </w:r>
      <w:r>
        <w:rPr>
          <w:rFonts w:hint="eastAsia" w:ascii="宋体" w:hAnsi="宋体"/>
          <w:color w:val="000000" w:themeColor="text1"/>
          <w:sz w:val="24"/>
        </w:rPr>
        <w:t>日1</w:t>
      </w:r>
      <w:r>
        <w:rPr>
          <w:rFonts w:hint="eastAsia" w:ascii="宋体" w:hAnsi="宋体"/>
          <w:color w:val="000000" w:themeColor="text1"/>
          <w:sz w:val="24"/>
          <w:lang w:val="en-US" w:eastAsia="zh-CN"/>
        </w:rPr>
        <w:t>4</w:t>
      </w:r>
      <w:r>
        <w:rPr>
          <w:rFonts w:hint="eastAsia" w:ascii="宋体" w:hAnsi="宋体"/>
          <w:color w:val="000000" w:themeColor="text1"/>
          <w:sz w:val="24"/>
        </w:rPr>
        <w:t>:00前向采</w:t>
      </w:r>
      <w:r>
        <w:rPr>
          <w:rFonts w:hint="eastAsia" w:ascii="宋体" w:hAnsi="宋体" w:cs="宋体"/>
          <w:bCs/>
          <w:color w:val="000000" w:themeColor="text1"/>
          <w:sz w:val="24"/>
        </w:rPr>
        <w:t>购代理机构提供上传的电子投标文件</w:t>
      </w:r>
      <w:r>
        <w:rPr>
          <w:rFonts w:hint="eastAsia" w:ascii="宋体" w:hAnsi="宋体" w:cs="宋体"/>
          <w:bCs/>
          <w:color w:val="FF0000"/>
          <w:sz w:val="24"/>
        </w:rPr>
        <w:t>全套</w:t>
      </w:r>
      <w:r>
        <w:rPr>
          <w:rFonts w:hint="eastAsia" w:ascii="宋体" w:hAnsi="宋体" w:cs="宋体"/>
          <w:bCs/>
          <w:color w:val="FF0000"/>
          <w:sz w:val="24"/>
          <w:lang w:val="en-US" w:eastAsia="zh-CN"/>
        </w:rPr>
        <w:t>胶装</w:t>
      </w:r>
      <w:r>
        <w:rPr>
          <w:rFonts w:hint="eastAsia" w:ascii="宋体" w:hAnsi="宋体" w:cs="宋体"/>
          <w:bCs/>
          <w:color w:val="FF0000"/>
          <w:sz w:val="24"/>
        </w:rPr>
        <w:t>打印装订成册的纸质投标文件</w:t>
      </w:r>
      <w:r>
        <w:rPr>
          <w:rFonts w:hint="eastAsia" w:ascii="宋体" w:hAnsi="宋体" w:cs="宋体"/>
          <w:bCs/>
          <w:color w:val="FF0000"/>
          <w:sz w:val="24"/>
          <w:lang w:val="en-US" w:eastAsia="zh-CN"/>
        </w:rPr>
        <w:t>5</w:t>
      </w:r>
      <w:r>
        <w:rPr>
          <w:rFonts w:hint="eastAsia" w:ascii="宋体" w:hAnsi="宋体" w:cs="宋体"/>
          <w:bCs/>
          <w:color w:val="FF0000"/>
          <w:sz w:val="24"/>
        </w:rPr>
        <w:t>份</w:t>
      </w:r>
      <w:r>
        <w:rPr>
          <w:rFonts w:hint="eastAsia" w:ascii="宋体" w:hAnsi="宋体"/>
          <w:color w:val="000000" w:themeColor="text1"/>
          <w:sz w:val="24"/>
        </w:rPr>
        <w:t>。</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（3）电子投标文件部分：投标人应根据“</w:t>
      </w:r>
      <w:r>
        <w:rPr>
          <w:rFonts w:hint="eastAsia" w:ascii="宋体" w:hAnsi="宋体"/>
          <w:color w:val="000000" w:themeColor="text1"/>
          <w:sz w:val="24"/>
          <w:lang w:eastAsia="zh-CN"/>
        </w:rPr>
        <w:t>政采云</w:t>
      </w:r>
      <w:r>
        <w:rPr>
          <w:rFonts w:hint="eastAsia" w:ascii="宋体" w:hAnsi="宋体"/>
          <w:color w:val="000000" w:themeColor="text1"/>
          <w:sz w:val="24"/>
        </w:rPr>
        <w:t>供应商项目采购-电子招投标操作指南”及本招标文件规定的格式和顺序编制电子投标文件并进行关联定位；电子投标文件中须加盖供应商公章部分均采用 CA 签章，签字部分可用 CA 锁</w:t>
      </w:r>
      <w:bookmarkStart w:id="147" w:name="_GoBack"/>
      <w:bookmarkEnd w:id="147"/>
      <w:r>
        <w:rPr>
          <w:rFonts w:hint="eastAsia" w:ascii="宋体" w:hAnsi="宋体"/>
          <w:color w:val="000000" w:themeColor="text1"/>
          <w:sz w:val="24"/>
        </w:rPr>
        <w:t>法人章（如有），未申请法人章的将签名部分签好后以扫描件形式上传至投标文件（具体操作请咨询</w:t>
      </w:r>
      <w:r>
        <w:rPr>
          <w:rFonts w:hint="eastAsia" w:ascii="宋体" w:hAnsi="宋体"/>
          <w:color w:val="000000" w:themeColor="text1"/>
          <w:sz w:val="24"/>
          <w:lang w:eastAsia="zh-CN"/>
        </w:rPr>
        <w:t>政采云</w:t>
      </w:r>
      <w:r>
        <w:rPr>
          <w:rFonts w:hint="eastAsia" w:ascii="宋体" w:hAnsi="宋体"/>
          <w:color w:val="000000" w:themeColor="text1"/>
          <w:sz w:val="24"/>
          <w:lang w:val="en-US" w:eastAsia="zh-CN"/>
        </w:rPr>
        <w:t>95763</w:t>
      </w:r>
      <w:r>
        <w:rPr>
          <w:rFonts w:hint="eastAsia" w:ascii="宋体" w:hAnsi="宋体"/>
          <w:color w:val="000000" w:themeColor="text1"/>
          <w:sz w:val="24"/>
        </w:rPr>
        <w:t xml:space="preserve">）。 </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（4）以 U 盘存储的备份投标文件，单独密封递交。</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w:t>
      </w:r>
      <w:r>
        <w:rPr>
          <w:rFonts w:ascii="宋体" w:hAnsi="宋体"/>
          <w:color w:val="000000" w:themeColor="text1"/>
          <w:sz w:val="24"/>
        </w:rPr>
        <w:t>.</w:t>
      </w:r>
      <w:r>
        <w:rPr>
          <w:rFonts w:hint="eastAsia" w:ascii="宋体" w:hAnsi="宋体"/>
          <w:color w:val="000000" w:themeColor="text1"/>
          <w:sz w:val="24"/>
        </w:rPr>
        <w:t>投标文件须按“投标文件格式”提供的统一格式填写、签署和加盖公章</w:t>
      </w:r>
      <w:r>
        <w:rPr>
          <w:rFonts w:ascii="宋体" w:hAnsi="宋体"/>
          <w:color w:val="000000" w:themeColor="text1"/>
          <w:sz w:val="24"/>
        </w:rPr>
        <w:t>。</w:t>
      </w:r>
    </w:p>
    <w:p>
      <w:pPr>
        <w:snapToGrid w:val="0"/>
        <w:spacing w:line="360" w:lineRule="auto"/>
        <w:ind w:firstLine="480" w:firstLineChars="200"/>
        <w:jc w:val="left"/>
        <w:rPr>
          <w:rFonts w:ascii="宋体" w:hAnsi="宋体"/>
          <w:b/>
          <w:color w:val="000000" w:themeColor="text1"/>
          <w:sz w:val="24"/>
        </w:rPr>
      </w:pPr>
      <w:r>
        <w:rPr>
          <w:rFonts w:hint="eastAsia" w:ascii="宋体" w:hAnsi="宋体"/>
          <w:color w:val="000000" w:themeColor="text1"/>
          <w:sz w:val="24"/>
        </w:rPr>
        <w:t>4</w:t>
      </w:r>
      <w:r>
        <w:rPr>
          <w:rFonts w:ascii="宋体" w:hAnsi="宋体"/>
          <w:color w:val="000000" w:themeColor="text1"/>
          <w:sz w:val="24"/>
        </w:rPr>
        <w:t>.投标文件不得涂改，若有修改错漏处，须加盖单位公章或者法定代表人或授权委托人签字或盖章。投标文件因字迹潦草或表达不清所引起的后果由投标人负责。</w:t>
      </w:r>
    </w:p>
    <w:p>
      <w:pPr>
        <w:snapToGrid w:val="0"/>
        <w:spacing w:line="360" w:lineRule="auto"/>
        <w:jc w:val="left"/>
        <w:rPr>
          <w:rFonts w:ascii="宋体" w:hAnsi="宋体"/>
          <w:b/>
          <w:color w:val="000000" w:themeColor="text1"/>
          <w:sz w:val="24"/>
        </w:rPr>
      </w:pPr>
      <w:r>
        <w:rPr>
          <w:rFonts w:hint="eastAsia" w:ascii="宋体" w:hAnsi="宋体"/>
          <w:b/>
          <w:color w:val="000000" w:themeColor="text1"/>
          <w:sz w:val="24"/>
        </w:rPr>
        <w:t>四、投标文件的包装、递交、修改和撤回</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w:t>
      </w:r>
      <w:r>
        <w:rPr>
          <w:rFonts w:hint="eastAsia" w:ascii="宋体" w:hAnsi="宋体"/>
          <w:color w:val="000000" w:themeColor="text1"/>
          <w:sz w:val="24"/>
        </w:rPr>
        <w:t>投标文件的装订、密封、标记和递送</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 xml:space="preserve">（1）电子投标文件：投标人应根据“项目采购-电子招投标操作指南”及本招标文件规定的格式和顺序编制电子投标文件并进行关联定位。 </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 xml:space="preserve">（2）电子备份投标文件：单独包封，外包装封面上应注明投标人名称、投标人地址、投标文件名称（电子投标文件的备份文件）、投标项目名称、项目编号及“开标时启封”字样，并加盖投标人公章。 </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 xml:space="preserve">（3）未按规定密封或标记的投标文件，采购人有权拒绝接受其投标。 </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（4）如果投标人未按上述要求密封或标记而造成投标文件被误投或提前拆封的风险由投标人承担。</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2.投标截止时间</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（1）投标人应在招标文件要求提交（上传）投标文件的截止时间前，将投标文件上传至</w:t>
      </w:r>
      <w:r>
        <w:rPr>
          <w:rFonts w:hint="eastAsia" w:ascii="宋体" w:hAnsi="宋体"/>
          <w:color w:val="000000" w:themeColor="text1"/>
          <w:sz w:val="24"/>
          <w:lang w:eastAsia="zh-CN"/>
        </w:rPr>
        <w:t>浙江省公款竞争性存放网上招标平台</w:t>
      </w:r>
      <w:r>
        <w:rPr>
          <w:rFonts w:hint="eastAsia" w:ascii="宋体" w:hAnsi="宋体"/>
          <w:color w:val="000000" w:themeColor="text1"/>
          <w:sz w:val="24"/>
        </w:rPr>
        <w:t>。采购代理机构拒绝接收在投标截止时间以后提交（上传）的投标文件。</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2）采购代理机构因故需推迟投标截止时间、开标时间时，应提前以公告或书面的形式通知购买招标文件的所有潜在投标人。潜在投标人在收到通知后应立即以书面形式回复采购代理机构。在这种情况下，采购代理机构和潜在投标人相应的权利和义务将受到新的截止期的约束。</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3.投标文件的修改和撤回</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（1）投标人在投标截止时间前，可以对已经提交的投标文件进行补充、修改或者撤回。</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对已经完成传输递交的电子投标文件进行补充或者修改的，应当先行撤回原文件，补充、修改后重新传输递交。投标人在投标截止时间前未重新完成传输递交的，视为撤回投标文件。投标截止时间后递交的电子加标文件，电子交易平台将拒收。</w:t>
      </w:r>
    </w:p>
    <w:p>
      <w:pPr>
        <w:snapToGrid w:val="0"/>
        <w:spacing w:line="360" w:lineRule="auto"/>
        <w:ind w:firstLine="420"/>
        <w:jc w:val="left"/>
        <w:rPr>
          <w:rFonts w:ascii="宋体" w:hAnsi="宋体"/>
          <w:color w:val="000000" w:themeColor="text1"/>
          <w:sz w:val="24"/>
        </w:rPr>
      </w:pPr>
      <w:r>
        <w:rPr>
          <w:rFonts w:hint="eastAsia" w:ascii="宋体" w:hAnsi="宋体"/>
          <w:color w:val="000000" w:themeColor="text1"/>
          <w:sz w:val="24"/>
        </w:rPr>
        <w:t>投标人在投标截止时间前递交了需要补充或修改的电子投标文件的备份投标文件，可以重新提交补充或修改后的备份投标文件。</w:t>
      </w:r>
    </w:p>
    <w:p>
      <w:pPr>
        <w:snapToGrid w:val="0"/>
        <w:spacing w:line="360" w:lineRule="auto"/>
        <w:ind w:firstLine="420"/>
        <w:jc w:val="left"/>
        <w:rPr>
          <w:rFonts w:ascii="宋体" w:hAnsi="宋体"/>
          <w:b/>
          <w:color w:val="000000" w:themeColor="text1"/>
          <w:szCs w:val="24"/>
        </w:rPr>
      </w:pPr>
      <w:r>
        <w:rPr>
          <w:rFonts w:hint="eastAsia" w:ascii="宋体" w:hAnsi="宋体"/>
          <w:color w:val="000000" w:themeColor="text1"/>
          <w:sz w:val="24"/>
        </w:rPr>
        <w:t>（2）投标截止时间后，投标人不得对其投标文件进行补充、修改。</w:t>
      </w:r>
    </w:p>
    <w:p>
      <w:pPr>
        <w:pStyle w:val="8"/>
        <w:widowControl w:val="0"/>
        <w:tabs>
          <w:tab w:val="clear" w:pos="454"/>
        </w:tabs>
        <w:snapToGrid w:val="0"/>
        <w:spacing w:afterLines="0" w:line="360" w:lineRule="auto"/>
        <w:ind w:left="282" w:hanging="282" w:hangingChars="117"/>
        <w:rPr>
          <w:rFonts w:ascii="宋体" w:hAnsi="宋体"/>
          <w:b/>
          <w:color w:val="000000" w:themeColor="text1"/>
          <w:szCs w:val="24"/>
        </w:rPr>
      </w:pPr>
      <w:r>
        <w:rPr>
          <w:rFonts w:hint="eastAsia" w:ascii="宋体" w:hAnsi="宋体"/>
          <w:b/>
          <w:color w:val="000000" w:themeColor="text1"/>
          <w:szCs w:val="24"/>
        </w:rPr>
        <w:t>五、投标文件的有效期</w:t>
      </w:r>
    </w:p>
    <w:p>
      <w:pPr>
        <w:pStyle w:val="8"/>
        <w:widowControl w:val="0"/>
        <w:tabs>
          <w:tab w:val="clear" w:pos="454"/>
        </w:tabs>
        <w:snapToGrid w:val="0"/>
        <w:spacing w:afterLines="0" w:line="360" w:lineRule="auto"/>
        <w:ind w:left="0" w:firstLine="240" w:firstLineChars="100"/>
        <w:rPr>
          <w:rFonts w:ascii="宋体" w:hAnsi="宋体"/>
          <w:color w:val="000000" w:themeColor="text1"/>
          <w:szCs w:val="24"/>
        </w:rPr>
      </w:pPr>
      <w:r>
        <w:rPr>
          <w:rFonts w:ascii="宋体" w:hAnsi="宋体"/>
          <w:color w:val="000000" w:themeColor="text1"/>
          <w:szCs w:val="24"/>
        </w:rPr>
        <w:t>▲1.自投标截止日起</w:t>
      </w:r>
      <w:r>
        <w:rPr>
          <w:rFonts w:ascii="宋体" w:hAnsi="宋体"/>
          <w:b/>
          <w:color w:val="000000" w:themeColor="text1"/>
          <w:szCs w:val="24"/>
          <w:u w:val="single"/>
        </w:rPr>
        <w:t xml:space="preserve"> 90</w:t>
      </w:r>
      <w:r>
        <w:rPr>
          <w:rFonts w:ascii="宋体" w:hAnsi="宋体"/>
          <w:color w:val="000000" w:themeColor="text1"/>
          <w:szCs w:val="24"/>
        </w:rPr>
        <w:t>天</w:t>
      </w:r>
      <w:r>
        <w:rPr>
          <w:rFonts w:hint="eastAsia" w:ascii="宋体" w:hAnsi="宋体"/>
          <w:color w:val="000000" w:themeColor="text1"/>
          <w:szCs w:val="24"/>
        </w:rPr>
        <w:t>内</w:t>
      </w:r>
      <w:r>
        <w:rPr>
          <w:rFonts w:ascii="宋体" w:hAnsi="宋体"/>
          <w:color w:val="000000" w:themeColor="text1"/>
          <w:szCs w:val="24"/>
        </w:rPr>
        <w:t>投标文件应保持有效。有效期不足的投标文件将被拒绝。</w:t>
      </w:r>
    </w:p>
    <w:p>
      <w:pPr>
        <w:pStyle w:val="8"/>
        <w:widowControl w:val="0"/>
        <w:tabs>
          <w:tab w:val="clear" w:pos="454"/>
        </w:tabs>
        <w:snapToGrid w:val="0"/>
        <w:spacing w:afterLines="0" w:line="360" w:lineRule="auto"/>
        <w:ind w:left="0" w:firstLine="480" w:firstLineChars="200"/>
        <w:rPr>
          <w:rFonts w:ascii="宋体" w:hAnsi="宋体"/>
          <w:color w:val="000000" w:themeColor="text1"/>
          <w:szCs w:val="24"/>
        </w:rPr>
      </w:pPr>
      <w:r>
        <w:rPr>
          <w:rFonts w:ascii="宋体" w:hAnsi="宋体"/>
          <w:color w:val="000000" w:themeColor="text1"/>
          <w:szCs w:val="24"/>
        </w:rPr>
        <w:t>2.在特殊情况下，招标人可与投标人协商延长投标书的有效期，这种要求和答复均以书面形式进行。</w:t>
      </w:r>
    </w:p>
    <w:p>
      <w:pPr>
        <w:snapToGrid w:val="0"/>
        <w:spacing w:line="360" w:lineRule="auto"/>
        <w:ind w:firstLine="480" w:firstLineChars="200"/>
        <w:jc w:val="left"/>
        <w:outlineLvl w:val="0"/>
        <w:rPr>
          <w:rFonts w:ascii="宋体" w:hAnsi="宋体"/>
          <w:color w:val="000000" w:themeColor="text1"/>
          <w:sz w:val="24"/>
        </w:rPr>
      </w:pPr>
      <w:bookmarkStart w:id="106" w:name="_Toc259108320"/>
      <w:bookmarkStart w:id="107" w:name="_Toc436314550"/>
      <w:bookmarkStart w:id="108" w:name="_Toc429406713"/>
      <w:bookmarkStart w:id="109" w:name="_Toc454551079"/>
      <w:bookmarkStart w:id="110" w:name="_Toc249866764"/>
      <w:bookmarkStart w:id="111" w:name="_Toc444597101"/>
      <w:bookmarkStart w:id="112" w:name="_Toc355117109"/>
      <w:bookmarkStart w:id="113" w:name="_Toc427442464"/>
      <w:r>
        <w:rPr>
          <w:rFonts w:hint="eastAsia" w:ascii="宋体" w:hAnsi="宋体"/>
          <w:color w:val="000000" w:themeColor="text1"/>
          <w:sz w:val="24"/>
        </w:rPr>
        <w:t>3</w:t>
      </w:r>
      <w:r>
        <w:rPr>
          <w:rFonts w:ascii="宋体" w:hAnsi="宋体"/>
          <w:color w:val="000000" w:themeColor="text1"/>
          <w:sz w:val="24"/>
        </w:rPr>
        <w:t>.中标人的投标文件自开标之日起至合同履行完毕止均应保持有效。</w:t>
      </w:r>
      <w:bookmarkEnd w:id="106"/>
      <w:bookmarkEnd w:id="107"/>
      <w:bookmarkEnd w:id="108"/>
      <w:bookmarkEnd w:id="109"/>
      <w:bookmarkEnd w:id="110"/>
      <w:bookmarkEnd w:id="111"/>
      <w:bookmarkEnd w:id="112"/>
      <w:bookmarkEnd w:id="113"/>
    </w:p>
    <w:p>
      <w:pPr>
        <w:pStyle w:val="8"/>
        <w:widowControl w:val="0"/>
        <w:tabs>
          <w:tab w:val="clear" w:pos="454"/>
        </w:tabs>
        <w:snapToGrid w:val="0"/>
        <w:spacing w:afterLines="0" w:line="360" w:lineRule="auto"/>
        <w:ind w:left="282" w:hanging="282" w:hangingChars="117"/>
        <w:rPr>
          <w:rFonts w:ascii="宋体" w:hAnsi="宋体"/>
          <w:b/>
          <w:color w:val="000000" w:themeColor="text1"/>
          <w:szCs w:val="24"/>
        </w:rPr>
      </w:pPr>
      <w:r>
        <w:rPr>
          <w:rFonts w:hint="eastAsia" w:ascii="宋体" w:hAnsi="宋体"/>
          <w:b/>
          <w:color w:val="000000" w:themeColor="text1"/>
          <w:szCs w:val="24"/>
        </w:rPr>
        <w:t>六、</w:t>
      </w:r>
      <w:r>
        <w:rPr>
          <w:rFonts w:ascii="宋体" w:hAnsi="宋体"/>
          <w:b/>
          <w:color w:val="000000" w:themeColor="text1"/>
          <w:szCs w:val="24"/>
        </w:rPr>
        <w:t>开标</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1.采购代理机构按招标文件规定的时间、地点主持公开开标。</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2.投标文件开启步骤：同时开启所有文件。</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3.电子投标开标及评审程序</w:t>
      </w:r>
    </w:p>
    <w:p>
      <w:pPr>
        <w:pStyle w:val="8"/>
        <w:snapToGrid w:val="0"/>
        <w:spacing w:after="120" w:line="360" w:lineRule="auto"/>
        <w:ind w:left="0" w:firstLine="357" w:firstLineChars="149"/>
        <w:rPr>
          <w:rFonts w:ascii="宋体" w:hAnsi="宋体"/>
          <w:color w:val="000000" w:themeColor="text1"/>
          <w:szCs w:val="24"/>
        </w:rPr>
      </w:pPr>
      <w:r>
        <w:rPr>
          <w:rFonts w:hint="eastAsia" w:ascii="宋体" w:hAnsi="宋体"/>
          <w:color w:val="000000" w:themeColor="text1"/>
          <w:szCs w:val="24"/>
        </w:rPr>
        <w:t>（1）投标截止时间后，投标人登录</w:t>
      </w:r>
      <w:r>
        <w:rPr>
          <w:rFonts w:hint="eastAsia" w:ascii="宋体" w:hAnsi="宋体"/>
          <w:color w:val="000000" w:themeColor="text1"/>
          <w:szCs w:val="24"/>
          <w:lang w:eastAsia="zh-CN"/>
        </w:rPr>
        <w:t>政采云</w:t>
      </w:r>
      <w:r>
        <w:rPr>
          <w:rFonts w:hint="eastAsia" w:ascii="宋体" w:hAnsi="宋体"/>
          <w:color w:val="000000" w:themeColor="text1"/>
          <w:szCs w:val="24"/>
        </w:rPr>
        <w:t>平台，用“公款竞争性存放-开标评标”功能对电子投标文件进行在线开启。</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 xml:space="preserve">（2）评标委员会对投标人的资格进行审查。 </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 xml:space="preserve">（3）在系统上公开报价开标情况。 </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 xml:space="preserve">（4）评标委员会对投标文件进行评审。 </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 xml:space="preserve">（5）在系统上公布评审结果。 </w:t>
      </w:r>
    </w:p>
    <w:p>
      <w:pPr>
        <w:pStyle w:val="8"/>
        <w:snapToGrid w:val="0"/>
        <w:spacing w:after="120" w:line="360" w:lineRule="auto"/>
        <w:ind w:left="0" w:firstLine="480" w:firstLineChars="200"/>
        <w:rPr>
          <w:rFonts w:ascii="宋体" w:hAnsi="宋体"/>
          <w:color w:val="000000" w:themeColor="text1"/>
          <w:szCs w:val="24"/>
        </w:rPr>
      </w:pPr>
      <w:r>
        <w:rPr>
          <w:rFonts w:hint="eastAsia" w:ascii="宋体" w:hAnsi="宋体"/>
          <w:color w:val="000000" w:themeColor="text1"/>
          <w:szCs w:val="24"/>
        </w:rPr>
        <w:t>注：</w:t>
      </w:r>
      <w:r>
        <w:rPr>
          <w:rFonts w:hint="eastAsia" w:ascii="宋体" w:hAnsi="宋体"/>
          <w:color w:val="000000" w:themeColor="text1"/>
          <w:szCs w:val="24"/>
          <w:lang w:eastAsia="zh-CN"/>
        </w:rPr>
        <w:t>政采云</w:t>
      </w:r>
      <w:r>
        <w:rPr>
          <w:rFonts w:hint="eastAsia" w:ascii="宋体" w:hAnsi="宋体"/>
          <w:color w:val="000000" w:themeColor="text1"/>
          <w:szCs w:val="24"/>
        </w:rPr>
        <w:t>公司如对电子化开标及评审程序有调整的，按调整后的程序操作。</w:t>
      </w:r>
    </w:p>
    <w:p>
      <w:pPr>
        <w:pStyle w:val="8"/>
        <w:snapToGrid w:val="0"/>
        <w:spacing w:after="120" w:line="360" w:lineRule="auto"/>
        <w:ind w:left="279" w:leftChars="133" w:firstLine="120" w:firstLineChars="50"/>
        <w:rPr>
          <w:rFonts w:ascii="宋体" w:hAnsi="宋体"/>
          <w:color w:val="000000" w:themeColor="text1"/>
          <w:szCs w:val="24"/>
        </w:rPr>
      </w:pPr>
      <w:r>
        <w:rPr>
          <w:rFonts w:hint="eastAsia" w:ascii="宋体" w:hAnsi="宋体"/>
          <w:color w:val="000000" w:themeColor="text1"/>
          <w:szCs w:val="24"/>
        </w:rPr>
        <w:t xml:space="preserve">4.特别说明 </w:t>
      </w:r>
    </w:p>
    <w:p>
      <w:pPr>
        <w:pStyle w:val="8"/>
        <w:snapToGrid w:val="0"/>
        <w:spacing w:after="120" w:line="360" w:lineRule="auto"/>
        <w:ind w:left="0" w:firstLine="357" w:firstLineChars="149"/>
        <w:rPr>
          <w:rFonts w:ascii="宋体" w:hAnsi="宋体"/>
          <w:color w:val="000000" w:themeColor="text1"/>
          <w:szCs w:val="24"/>
        </w:rPr>
      </w:pPr>
      <w:r>
        <w:rPr>
          <w:rFonts w:hint="eastAsia" w:ascii="宋体" w:hAnsi="宋体"/>
          <w:color w:val="000000" w:themeColor="text1"/>
          <w:szCs w:val="24"/>
        </w:rPr>
        <w:t>本项目采用</w:t>
      </w:r>
      <w:r>
        <w:rPr>
          <w:rFonts w:hint="eastAsia" w:ascii="宋体" w:hAnsi="宋体"/>
          <w:color w:val="000000" w:themeColor="text1"/>
          <w:szCs w:val="24"/>
          <w:lang w:eastAsia="zh-CN"/>
        </w:rPr>
        <w:t>政采云</w:t>
      </w:r>
      <w:r>
        <w:rPr>
          <w:rFonts w:hint="eastAsia" w:ascii="宋体" w:hAnsi="宋体"/>
          <w:color w:val="000000" w:themeColor="text1"/>
          <w:szCs w:val="24"/>
        </w:rPr>
        <w:t xml:space="preserve">电子投标开标及评审程序，但有下情形之一的，按以下情况处理： </w:t>
      </w:r>
    </w:p>
    <w:p>
      <w:pPr>
        <w:pStyle w:val="8"/>
        <w:snapToGrid w:val="0"/>
        <w:spacing w:after="120" w:line="360" w:lineRule="auto"/>
        <w:ind w:left="0" w:firstLine="357" w:firstLineChars="149"/>
        <w:rPr>
          <w:rFonts w:ascii="宋体" w:hAnsi="宋体"/>
          <w:color w:val="000000" w:themeColor="text1"/>
          <w:szCs w:val="24"/>
        </w:rPr>
      </w:pPr>
      <w:r>
        <w:rPr>
          <w:rFonts w:hint="eastAsia" w:ascii="宋体" w:hAnsi="宋体"/>
          <w:color w:val="000000" w:themeColor="text1"/>
          <w:szCs w:val="24"/>
        </w:rPr>
        <w:t xml:space="preserve">（1）若投标人在规定时间内无法开启或开启失败，视作无效投标。 </w:t>
      </w:r>
    </w:p>
    <w:p>
      <w:pPr>
        <w:pStyle w:val="8"/>
        <w:snapToGrid w:val="0"/>
        <w:spacing w:after="120" w:line="360" w:lineRule="auto"/>
        <w:ind w:left="0" w:firstLine="360" w:firstLineChars="150"/>
        <w:rPr>
          <w:rFonts w:ascii="宋体" w:hAnsi="宋体"/>
          <w:color w:val="000000" w:themeColor="text1"/>
          <w:szCs w:val="24"/>
        </w:rPr>
      </w:pPr>
      <w:r>
        <w:rPr>
          <w:rFonts w:hint="eastAsia" w:ascii="宋体" w:hAnsi="宋体"/>
          <w:color w:val="000000" w:themeColor="text1"/>
          <w:szCs w:val="24"/>
        </w:rPr>
        <w:t xml:space="preserve">（2）采购过程中出现以下情形，导致电子交易平台无法正常运行，或者无法保证电子交易的公平、公正和安全时，采购人（或代理机构）可中止电子交易活动： </w:t>
      </w:r>
    </w:p>
    <w:p>
      <w:pPr>
        <w:pStyle w:val="8"/>
        <w:snapToGrid w:val="0"/>
        <w:spacing w:after="120" w:line="360" w:lineRule="auto"/>
        <w:ind w:left="279" w:leftChars="133" w:firstLine="244" w:firstLineChars="102"/>
        <w:rPr>
          <w:rFonts w:ascii="宋体" w:hAnsi="宋体"/>
          <w:color w:val="000000" w:themeColor="text1"/>
          <w:szCs w:val="24"/>
        </w:rPr>
      </w:pPr>
      <w:r>
        <w:rPr>
          <w:rFonts w:hint="eastAsia" w:ascii="宋体" w:hAnsi="宋体"/>
          <w:color w:val="000000" w:themeColor="text1"/>
          <w:szCs w:val="24"/>
        </w:rPr>
        <w:t xml:space="preserve">1）电子交易平台发生故障而无法登录访问的； </w:t>
      </w:r>
    </w:p>
    <w:p>
      <w:pPr>
        <w:pStyle w:val="8"/>
        <w:snapToGrid w:val="0"/>
        <w:spacing w:after="120" w:line="360" w:lineRule="auto"/>
        <w:ind w:left="279" w:leftChars="133" w:firstLine="244" w:firstLineChars="102"/>
        <w:rPr>
          <w:rFonts w:ascii="宋体" w:hAnsi="宋体"/>
          <w:color w:val="000000" w:themeColor="text1"/>
          <w:szCs w:val="24"/>
        </w:rPr>
      </w:pPr>
      <w:r>
        <w:rPr>
          <w:rFonts w:hint="eastAsia" w:ascii="宋体" w:hAnsi="宋体"/>
          <w:color w:val="000000" w:themeColor="text1"/>
          <w:szCs w:val="24"/>
        </w:rPr>
        <w:t xml:space="preserve">2）电子交易平台应用或数据库出现错误，不能进行正常操作的； </w:t>
      </w:r>
    </w:p>
    <w:p>
      <w:pPr>
        <w:pStyle w:val="8"/>
        <w:snapToGrid w:val="0"/>
        <w:spacing w:after="120" w:line="360" w:lineRule="auto"/>
        <w:ind w:left="279" w:leftChars="133" w:firstLine="244" w:firstLineChars="102"/>
        <w:rPr>
          <w:rFonts w:ascii="宋体" w:hAnsi="宋体"/>
          <w:color w:val="000000" w:themeColor="text1"/>
          <w:szCs w:val="24"/>
        </w:rPr>
      </w:pPr>
      <w:r>
        <w:rPr>
          <w:rFonts w:hint="eastAsia" w:ascii="宋体" w:hAnsi="宋体"/>
          <w:color w:val="000000" w:themeColor="text1"/>
          <w:szCs w:val="24"/>
        </w:rPr>
        <w:t xml:space="preserve">3）电子交易平台发现严重安全漏洞，有潜在泄密危险的； </w:t>
      </w:r>
    </w:p>
    <w:p>
      <w:pPr>
        <w:pStyle w:val="8"/>
        <w:snapToGrid w:val="0"/>
        <w:spacing w:after="120" w:line="360" w:lineRule="auto"/>
        <w:ind w:left="279" w:leftChars="133" w:firstLine="244" w:firstLineChars="102"/>
        <w:rPr>
          <w:rFonts w:ascii="宋体" w:hAnsi="宋体"/>
          <w:color w:val="000000" w:themeColor="text1"/>
          <w:szCs w:val="24"/>
        </w:rPr>
      </w:pPr>
      <w:r>
        <w:rPr>
          <w:rFonts w:hint="eastAsia" w:ascii="宋体" w:hAnsi="宋体"/>
          <w:color w:val="000000" w:themeColor="text1"/>
          <w:szCs w:val="24"/>
        </w:rPr>
        <w:t xml:space="preserve">4）病毒发作导致不能进行正常操作的； </w:t>
      </w:r>
    </w:p>
    <w:p>
      <w:pPr>
        <w:pStyle w:val="8"/>
        <w:snapToGrid w:val="0"/>
        <w:spacing w:after="120" w:line="360" w:lineRule="auto"/>
        <w:ind w:left="279" w:leftChars="133" w:firstLine="244" w:firstLineChars="102"/>
        <w:rPr>
          <w:rFonts w:ascii="宋体" w:hAnsi="宋体"/>
          <w:color w:val="000000" w:themeColor="text1"/>
          <w:szCs w:val="24"/>
        </w:rPr>
      </w:pPr>
      <w:r>
        <w:rPr>
          <w:rFonts w:hint="eastAsia" w:ascii="宋体" w:hAnsi="宋体"/>
          <w:color w:val="000000" w:themeColor="text1"/>
          <w:szCs w:val="24"/>
        </w:rPr>
        <w:t xml:space="preserve">5）其他无法保证电子交易的公平、公正和安全的情况。 </w:t>
      </w:r>
    </w:p>
    <w:p>
      <w:pPr>
        <w:pStyle w:val="8"/>
        <w:snapToGrid w:val="0"/>
        <w:spacing w:after="120" w:line="360" w:lineRule="auto"/>
        <w:ind w:left="0" w:firstLine="120" w:firstLineChars="50"/>
        <w:rPr>
          <w:rFonts w:ascii="宋体" w:hAnsi="宋体"/>
          <w:color w:val="000000" w:themeColor="text1"/>
          <w:szCs w:val="24"/>
        </w:rPr>
      </w:pPr>
      <w:r>
        <w:rPr>
          <w:rFonts w:hint="eastAsia" w:ascii="宋体" w:hAnsi="宋体"/>
          <w:color w:val="000000" w:themeColor="text1"/>
          <w:szCs w:val="24"/>
        </w:rPr>
        <w:t xml:space="preserve">出现前款规定情形，不影响采购公平、公正性的，采购人（或代理机构）可以待上述情形消除后继续组织电子交易活动。 </w:t>
      </w:r>
    </w:p>
    <w:p>
      <w:pPr>
        <w:pStyle w:val="8"/>
        <w:widowControl w:val="0"/>
        <w:tabs>
          <w:tab w:val="clear" w:pos="454"/>
        </w:tabs>
        <w:snapToGrid w:val="0"/>
        <w:spacing w:afterLines="0" w:line="360" w:lineRule="auto"/>
        <w:ind w:left="279" w:leftChars="133" w:firstLine="120" w:firstLineChars="50"/>
        <w:rPr>
          <w:rFonts w:ascii="宋体" w:hAnsi="宋体"/>
          <w:b/>
          <w:color w:val="000000" w:themeColor="text1"/>
          <w:sz w:val="24"/>
        </w:rPr>
      </w:pPr>
      <w:r>
        <w:rPr>
          <w:rFonts w:hint="eastAsia" w:ascii="宋体" w:hAnsi="宋体"/>
          <w:color w:val="000000" w:themeColor="text1"/>
          <w:szCs w:val="24"/>
        </w:rPr>
        <w:t>5.</w:t>
      </w:r>
      <w:r>
        <w:rPr>
          <w:rFonts w:hint="eastAsia" w:ascii="宋体" w:hAnsi="宋体"/>
          <w:color w:val="FF0000"/>
          <w:szCs w:val="24"/>
        </w:rPr>
        <w:t>投标截止时间止，投标人不足</w:t>
      </w:r>
      <w:r>
        <w:rPr>
          <w:rFonts w:hint="eastAsia" w:ascii="宋体" w:hAnsi="宋体"/>
          <w:color w:val="FF0000"/>
          <w:szCs w:val="24"/>
          <w:lang w:val="en-US" w:eastAsia="zh-CN"/>
        </w:rPr>
        <w:t>7</w:t>
      </w:r>
      <w:r>
        <w:rPr>
          <w:rFonts w:hint="eastAsia" w:ascii="宋体" w:hAnsi="宋体"/>
          <w:color w:val="FF0000"/>
          <w:szCs w:val="24"/>
        </w:rPr>
        <w:t>家的，不得开标</w:t>
      </w:r>
      <w:r>
        <w:rPr>
          <w:rFonts w:hint="eastAsia" w:ascii="宋体" w:hAnsi="宋体"/>
          <w:color w:val="000000" w:themeColor="text1"/>
          <w:szCs w:val="24"/>
        </w:rPr>
        <w:t>。</w:t>
      </w:r>
    </w:p>
    <w:p>
      <w:pPr>
        <w:snapToGrid w:val="0"/>
        <w:spacing w:line="360" w:lineRule="auto"/>
        <w:outlineLvl w:val="2"/>
        <w:rPr>
          <w:rFonts w:ascii="宋体" w:hAnsi="宋体"/>
          <w:b/>
          <w:color w:val="000000" w:themeColor="text1"/>
          <w:sz w:val="24"/>
        </w:rPr>
      </w:pPr>
      <w:bookmarkStart w:id="114" w:name="_Toc429406714"/>
      <w:bookmarkStart w:id="115" w:name="_Toc444597102"/>
      <w:bookmarkStart w:id="116" w:name="_Toc355117111"/>
      <w:bookmarkStart w:id="117" w:name="_Toc259108323"/>
      <w:bookmarkStart w:id="118" w:name="_Toc427442466"/>
      <w:bookmarkStart w:id="119" w:name="_Toc249866767"/>
      <w:bookmarkStart w:id="120" w:name="_Toc454551080"/>
      <w:bookmarkStart w:id="121" w:name="_Toc436314551"/>
      <w:r>
        <w:rPr>
          <w:rFonts w:hint="eastAsia" w:ascii="宋体" w:hAnsi="宋体"/>
          <w:b/>
          <w:color w:val="000000" w:themeColor="text1"/>
          <w:sz w:val="24"/>
        </w:rPr>
        <w:t>七、投标无效的情形</w:t>
      </w:r>
      <w:bookmarkEnd w:id="114"/>
      <w:bookmarkEnd w:id="115"/>
      <w:bookmarkEnd w:id="116"/>
      <w:bookmarkEnd w:id="117"/>
      <w:bookmarkEnd w:id="118"/>
      <w:bookmarkEnd w:id="119"/>
      <w:bookmarkEnd w:id="120"/>
      <w:bookmarkEnd w:id="121"/>
    </w:p>
    <w:p>
      <w:pPr>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实质上没有响应招标文件要求的投标将被视为无效投标。投标人不得通过修正或撤销不合要求的偏离或保留从而使其投标成为实质上响应的投标，但经评标委员会认定属于投标人疏忽、笔误所造成的差错，可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w:t>
      </w:r>
      <w:r>
        <w:rPr>
          <w:rFonts w:ascii="宋体" w:hAnsi="宋体"/>
          <w:bCs/>
          <w:color w:val="000000" w:themeColor="text1"/>
          <w:sz w:val="24"/>
        </w:rPr>
        <w:t>对其投标文件所作的评价和评分结果。</w:t>
      </w:r>
    </w:p>
    <w:p>
      <w:pPr>
        <w:snapToGrid w:val="0"/>
        <w:spacing w:line="360" w:lineRule="auto"/>
        <w:ind w:firstLine="472" w:firstLineChars="196"/>
        <w:rPr>
          <w:rFonts w:ascii="宋体" w:hAnsi="宋体"/>
          <w:b/>
          <w:bCs/>
          <w:color w:val="000000" w:themeColor="text1"/>
          <w:sz w:val="24"/>
        </w:rPr>
      </w:pPr>
      <w:r>
        <w:rPr>
          <w:rFonts w:ascii="宋体" w:hAnsi="宋体"/>
          <w:b/>
          <w:bCs/>
          <w:color w:val="000000" w:themeColor="text1"/>
          <w:sz w:val="24"/>
        </w:rPr>
        <w:t>1.在符合性审查和商务评审时，如发现下列情形之一的，投标文件将被视为无效：</w:t>
      </w:r>
    </w:p>
    <w:p>
      <w:pPr>
        <w:snapToGrid w:val="0"/>
        <w:spacing w:line="360" w:lineRule="auto"/>
        <w:ind w:firstLine="470" w:firstLineChars="196"/>
        <w:rPr>
          <w:rFonts w:ascii="宋体" w:hAnsi="宋体"/>
          <w:color w:val="000000" w:themeColor="text1"/>
          <w:sz w:val="24"/>
        </w:rPr>
      </w:pPr>
      <w:r>
        <w:rPr>
          <w:rFonts w:ascii="宋体" w:hAnsi="宋体"/>
          <w:color w:val="000000" w:themeColor="text1"/>
          <w:sz w:val="24"/>
        </w:rPr>
        <w:t>（</w:t>
      </w:r>
      <w:r>
        <w:rPr>
          <w:rFonts w:hint="eastAsia" w:ascii="宋体" w:hAnsi="宋体"/>
          <w:color w:val="000000" w:themeColor="text1"/>
          <w:sz w:val="24"/>
        </w:rPr>
        <w:t>1</w:t>
      </w:r>
      <w:r>
        <w:rPr>
          <w:rFonts w:ascii="宋体" w:hAnsi="宋体"/>
          <w:color w:val="000000" w:themeColor="text1"/>
          <w:sz w:val="24"/>
        </w:rPr>
        <w:t>）资格证明文件不全的，或者不符合招标文件标明的资格要求的；</w:t>
      </w:r>
    </w:p>
    <w:p>
      <w:pPr>
        <w:snapToGrid w:val="0"/>
        <w:spacing w:line="360" w:lineRule="auto"/>
        <w:ind w:firstLine="470" w:firstLineChars="196"/>
        <w:rPr>
          <w:rFonts w:ascii="宋体" w:hAnsi="宋体"/>
          <w:color w:val="000000" w:themeColor="text1"/>
          <w:sz w:val="24"/>
        </w:rPr>
      </w:pPr>
      <w:r>
        <w:rPr>
          <w:rFonts w:ascii="宋体" w:hAnsi="宋体"/>
          <w:color w:val="000000" w:themeColor="text1"/>
          <w:sz w:val="24"/>
        </w:rPr>
        <w:t>（</w:t>
      </w:r>
      <w:r>
        <w:rPr>
          <w:rFonts w:hint="eastAsia" w:ascii="宋体" w:hAnsi="宋体"/>
          <w:color w:val="000000" w:themeColor="text1"/>
          <w:sz w:val="24"/>
        </w:rPr>
        <w:t>2</w:t>
      </w:r>
      <w:r>
        <w:rPr>
          <w:rFonts w:ascii="宋体" w:hAnsi="宋体"/>
          <w:color w:val="000000" w:themeColor="text1"/>
          <w:sz w:val="24"/>
        </w:rPr>
        <w:t>）投标文件无法定代表人</w:t>
      </w:r>
      <w:r>
        <w:rPr>
          <w:rFonts w:hint="eastAsia" w:ascii="宋体" w:hAnsi="宋体"/>
          <w:color w:val="000000" w:themeColor="text1"/>
          <w:sz w:val="24"/>
        </w:rPr>
        <w:t>/负责人</w:t>
      </w:r>
      <w:r>
        <w:rPr>
          <w:rFonts w:ascii="宋体" w:hAnsi="宋体"/>
          <w:color w:val="000000" w:themeColor="text1"/>
          <w:sz w:val="24"/>
        </w:rPr>
        <w:t>签字</w:t>
      </w:r>
      <w:r>
        <w:rPr>
          <w:rFonts w:hint="eastAsia" w:ascii="宋体" w:hAnsi="宋体"/>
          <w:color w:val="000000" w:themeColor="text1"/>
          <w:sz w:val="24"/>
        </w:rPr>
        <w:t>，</w:t>
      </w:r>
      <w:r>
        <w:rPr>
          <w:rFonts w:ascii="宋体" w:hAnsi="宋体"/>
          <w:color w:val="000000" w:themeColor="text1"/>
          <w:sz w:val="24"/>
        </w:rPr>
        <w:t>或未提供法定代表人</w:t>
      </w:r>
      <w:r>
        <w:rPr>
          <w:rFonts w:hint="eastAsia" w:ascii="宋体" w:hAnsi="宋体"/>
          <w:color w:val="000000" w:themeColor="text1"/>
          <w:sz w:val="24"/>
        </w:rPr>
        <w:t>/负责人</w:t>
      </w:r>
      <w:r>
        <w:rPr>
          <w:rFonts w:ascii="宋体" w:hAnsi="宋体"/>
          <w:color w:val="000000" w:themeColor="text1"/>
          <w:sz w:val="24"/>
        </w:rPr>
        <w:t>授权委托书</w:t>
      </w:r>
      <w:r>
        <w:rPr>
          <w:rFonts w:hint="eastAsia" w:ascii="宋体" w:hAnsi="宋体"/>
          <w:color w:val="000000" w:themeColor="text1"/>
          <w:sz w:val="24"/>
        </w:rPr>
        <w:t>、</w:t>
      </w:r>
      <w:r>
        <w:rPr>
          <w:rFonts w:ascii="宋体" w:hAnsi="宋体"/>
          <w:color w:val="000000" w:themeColor="text1"/>
          <w:sz w:val="24"/>
        </w:rPr>
        <w:t>投标</w:t>
      </w:r>
      <w:r>
        <w:rPr>
          <w:rFonts w:hint="eastAsia" w:ascii="宋体" w:hAnsi="宋体"/>
          <w:color w:val="000000" w:themeColor="text1"/>
          <w:sz w:val="24"/>
        </w:rPr>
        <w:t>函</w:t>
      </w:r>
      <w:r>
        <w:rPr>
          <w:rFonts w:ascii="宋体" w:hAnsi="宋体"/>
          <w:color w:val="000000" w:themeColor="text1"/>
          <w:sz w:val="24"/>
        </w:rPr>
        <w:t>或者填写项目不齐全的；</w:t>
      </w:r>
    </w:p>
    <w:p>
      <w:pPr>
        <w:snapToGrid w:val="0"/>
        <w:spacing w:line="360" w:lineRule="auto"/>
        <w:ind w:firstLine="470" w:firstLineChars="196"/>
        <w:rPr>
          <w:rFonts w:ascii="宋体" w:hAnsi="宋体"/>
          <w:color w:val="000000" w:themeColor="text1"/>
          <w:sz w:val="24"/>
        </w:rPr>
      </w:pPr>
      <w:r>
        <w:rPr>
          <w:rFonts w:ascii="宋体" w:hAnsi="宋体"/>
          <w:color w:val="000000" w:themeColor="text1"/>
          <w:sz w:val="24"/>
        </w:rPr>
        <w:t>（</w:t>
      </w:r>
      <w:r>
        <w:rPr>
          <w:rFonts w:hint="eastAsia" w:ascii="宋体" w:hAnsi="宋体"/>
          <w:color w:val="000000" w:themeColor="text1"/>
          <w:sz w:val="24"/>
        </w:rPr>
        <w:t>3</w:t>
      </w:r>
      <w:r>
        <w:rPr>
          <w:rFonts w:ascii="宋体" w:hAnsi="宋体"/>
          <w:color w:val="000000" w:themeColor="text1"/>
          <w:sz w:val="24"/>
        </w:rPr>
        <w:t>）投标代表人未能出具身份证明或与法定代表人</w:t>
      </w:r>
      <w:r>
        <w:rPr>
          <w:rFonts w:hint="eastAsia" w:ascii="宋体" w:hAnsi="宋体"/>
          <w:color w:val="000000" w:themeColor="text1"/>
          <w:sz w:val="24"/>
        </w:rPr>
        <w:t>/负责人</w:t>
      </w:r>
      <w:r>
        <w:rPr>
          <w:rFonts w:ascii="宋体" w:hAnsi="宋体"/>
          <w:color w:val="000000" w:themeColor="text1"/>
          <w:sz w:val="24"/>
        </w:rPr>
        <w:t>授权委托人身份不符的；</w:t>
      </w:r>
    </w:p>
    <w:p>
      <w:pPr>
        <w:pStyle w:val="3"/>
        <w:snapToGrid w:val="0"/>
        <w:ind w:firstLine="470" w:firstLineChars="196"/>
        <w:rPr>
          <w:rFonts w:ascii="宋体" w:hAnsi="宋体"/>
          <w:color w:val="000000" w:themeColor="text1"/>
        </w:rPr>
      </w:pPr>
      <w:r>
        <w:rPr>
          <w:rFonts w:ascii="宋体" w:hAnsi="宋体"/>
          <w:color w:val="000000" w:themeColor="text1"/>
        </w:rPr>
        <w:t>（</w:t>
      </w:r>
      <w:r>
        <w:rPr>
          <w:rFonts w:hint="eastAsia" w:ascii="宋体" w:hAnsi="宋体"/>
          <w:color w:val="000000" w:themeColor="text1"/>
        </w:rPr>
        <w:t>4</w:t>
      </w:r>
      <w:r>
        <w:rPr>
          <w:rFonts w:ascii="宋体" w:hAnsi="宋体"/>
          <w:color w:val="000000" w:themeColor="text1"/>
        </w:rPr>
        <w:t>）投标文件格式不规范、项目不齐全或者内容虚假的；</w:t>
      </w:r>
    </w:p>
    <w:p>
      <w:pPr>
        <w:pStyle w:val="3"/>
        <w:snapToGrid w:val="0"/>
        <w:ind w:firstLine="470" w:firstLineChars="196"/>
        <w:rPr>
          <w:rFonts w:ascii="宋体" w:hAnsi="宋体"/>
          <w:color w:val="000000" w:themeColor="text1"/>
        </w:rPr>
      </w:pPr>
      <w:r>
        <w:rPr>
          <w:rFonts w:ascii="宋体" w:hAnsi="宋体"/>
          <w:color w:val="000000" w:themeColor="text1"/>
        </w:rPr>
        <w:t>（</w:t>
      </w:r>
      <w:r>
        <w:rPr>
          <w:rFonts w:hint="eastAsia" w:ascii="宋体" w:hAnsi="宋体"/>
          <w:color w:val="000000" w:themeColor="text1"/>
        </w:rPr>
        <w:t>5</w:t>
      </w:r>
      <w:r>
        <w:rPr>
          <w:rFonts w:ascii="宋体" w:hAnsi="宋体"/>
          <w:color w:val="000000" w:themeColor="text1"/>
        </w:rPr>
        <w:t>）投标文件的实质性内容未使用中文表述、意思表述不明确、前后矛盾或者使用计量单位不符合招标文件要求的（经评标委员会认定并允许其当场更正的笔误除外）；</w:t>
      </w:r>
    </w:p>
    <w:p>
      <w:pPr>
        <w:pStyle w:val="3"/>
        <w:snapToGrid w:val="0"/>
        <w:ind w:firstLine="470" w:firstLineChars="196"/>
        <w:rPr>
          <w:rFonts w:ascii="宋体" w:hAnsi="宋体"/>
          <w:color w:val="000000" w:themeColor="text1"/>
        </w:rPr>
      </w:pPr>
      <w:r>
        <w:rPr>
          <w:rFonts w:ascii="宋体" w:hAnsi="宋体"/>
          <w:color w:val="000000" w:themeColor="text1"/>
        </w:rPr>
        <w:t>（</w:t>
      </w:r>
      <w:r>
        <w:rPr>
          <w:rFonts w:hint="eastAsia" w:ascii="宋体" w:hAnsi="宋体"/>
          <w:color w:val="000000" w:themeColor="text1"/>
        </w:rPr>
        <w:t>6</w:t>
      </w:r>
      <w:r>
        <w:rPr>
          <w:rFonts w:ascii="宋体" w:hAnsi="宋体"/>
          <w:color w:val="000000" w:themeColor="text1"/>
        </w:rPr>
        <w:t>）投标有效期、付款方式等商务条款不能满足招标文件要求的；</w:t>
      </w:r>
    </w:p>
    <w:p>
      <w:pPr>
        <w:pStyle w:val="3"/>
        <w:snapToGrid w:val="0"/>
        <w:ind w:firstLine="470" w:firstLineChars="196"/>
        <w:rPr>
          <w:rFonts w:ascii="宋体" w:hAnsi="宋体"/>
          <w:color w:val="000000" w:themeColor="text1"/>
        </w:rPr>
      </w:pPr>
      <w:r>
        <w:rPr>
          <w:rFonts w:ascii="宋体" w:hAnsi="宋体"/>
          <w:color w:val="000000" w:themeColor="text1"/>
        </w:rPr>
        <w:t>（</w:t>
      </w:r>
      <w:r>
        <w:rPr>
          <w:rFonts w:hint="eastAsia" w:ascii="宋体" w:hAnsi="宋体"/>
          <w:color w:val="000000" w:themeColor="text1"/>
        </w:rPr>
        <w:t>7</w:t>
      </w:r>
      <w:r>
        <w:rPr>
          <w:rFonts w:ascii="宋体" w:hAnsi="宋体"/>
          <w:color w:val="000000" w:themeColor="text1"/>
        </w:rPr>
        <w:t>）未实质性响应招标文件要求</w:t>
      </w:r>
      <w:r>
        <w:rPr>
          <w:rFonts w:hint="eastAsia" w:ascii="宋体" w:hAnsi="宋体"/>
          <w:color w:val="000000" w:themeColor="text1"/>
        </w:rPr>
        <w:t>（</w:t>
      </w:r>
      <w:r>
        <w:rPr>
          <w:rFonts w:ascii="宋体" w:hAnsi="宋体"/>
          <w:color w:val="000000" w:themeColor="text1"/>
        </w:rPr>
        <w:t>“</w:t>
      </w:r>
      <w:r>
        <w:rPr>
          <w:rFonts w:hint="eastAsia" w:ascii="宋体" w:hAnsi="宋体"/>
          <w:color w:val="000000" w:themeColor="text1"/>
        </w:rPr>
        <w:t>▲</w:t>
      </w:r>
      <w:r>
        <w:rPr>
          <w:rFonts w:ascii="宋体" w:hAnsi="宋体"/>
          <w:color w:val="000000" w:themeColor="text1"/>
        </w:rPr>
        <w:t>”的</w:t>
      </w:r>
      <w:r>
        <w:rPr>
          <w:rFonts w:hint="eastAsia" w:ascii="宋体" w:hAnsi="宋体"/>
          <w:color w:val="000000" w:themeColor="text1"/>
        </w:rPr>
        <w:t>条款有任何偏离的）</w:t>
      </w:r>
      <w:r>
        <w:rPr>
          <w:rFonts w:ascii="宋体" w:hAnsi="宋体"/>
          <w:color w:val="000000" w:themeColor="text1"/>
        </w:rPr>
        <w:t>或者投标文件有招标方不能接受的附加条件的。</w:t>
      </w:r>
    </w:p>
    <w:p>
      <w:pPr>
        <w:pStyle w:val="3"/>
        <w:snapToGrid w:val="0"/>
        <w:ind w:firstLine="472" w:firstLineChars="196"/>
        <w:rPr>
          <w:rFonts w:ascii="宋体" w:hAnsi="宋体"/>
          <w:b/>
          <w:bCs/>
          <w:color w:val="000000" w:themeColor="text1"/>
        </w:rPr>
      </w:pPr>
      <w:r>
        <w:rPr>
          <w:rFonts w:ascii="宋体" w:hAnsi="宋体"/>
          <w:b/>
          <w:bCs/>
          <w:color w:val="000000" w:themeColor="text1"/>
        </w:rPr>
        <w:t>2</w:t>
      </w:r>
      <w:r>
        <w:rPr>
          <w:rFonts w:hint="eastAsia" w:ascii="宋体" w:hAnsi="宋体"/>
          <w:b/>
          <w:bCs/>
          <w:color w:val="000000" w:themeColor="text1"/>
        </w:rPr>
        <w:t>.</w:t>
      </w:r>
      <w:r>
        <w:rPr>
          <w:rFonts w:ascii="宋体" w:hAnsi="宋体"/>
          <w:b/>
          <w:bCs/>
          <w:color w:val="000000" w:themeColor="text1"/>
        </w:rPr>
        <w:t>在技术评审时，如发现下列情形之一的，投标文件将被视为无效：</w:t>
      </w:r>
    </w:p>
    <w:p>
      <w:pPr>
        <w:pStyle w:val="3"/>
        <w:snapToGrid w:val="0"/>
        <w:ind w:firstLine="470" w:firstLineChars="196"/>
        <w:rPr>
          <w:rFonts w:ascii="宋体" w:hAnsi="宋体"/>
          <w:color w:val="000000" w:themeColor="text1"/>
        </w:rPr>
      </w:pPr>
      <w:r>
        <w:rPr>
          <w:rFonts w:ascii="宋体" w:hAnsi="宋体"/>
          <w:color w:val="000000" w:themeColor="text1"/>
        </w:rPr>
        <w:t>（1）未提供或未如实提供投标</w:t>
      </w:r>
      <w:r>
        <w:rPr>
          <w:rFonts w:hint="eastAsia" w:ascii="宋体" w:hAnsi="宋体"/>
          <w:color w:val="000000" w:themeColor="text1"/>
        </w:rPr>
        <w:t>项目</w:t>
      </w:r>
      <w:r>
        <w:rPr>
          <w:rFonts w:ascii="宋体" w:hAnsi="宋体"/>
          <w:color w:val="000000" w:themeColor="text1"/>
        </w:rPr>
        <w:t>的技术</w:t>
      </w:r>
      <w:r>
        <w:rPr>
          <w:rFonts w:hint="eastAsia" w:ascii="宋体" w:hAnsi="宋体"/>
          <w:color w:val="000000" w:themeColor="text1"/>
        </w:rPr>
        <w:t>要求</w:t>
      </w:r>
      <w:r>
        <w:rPr>
          <w:rFonts w:ascii="宋体" w:hAnsi="宋体"/>
          <w:color w:val="000000" w:themeColor="text1"/>
        </w:rPr>
        <w:t>，或者投标文件标明的响应或偏离与事实不符或虚假投标的；</w:t>
      </w:r>
    </w:p>
    <w:p>
      <w:pPr>
        <w:pStyle w:val="3"/>
        <w:snapToGrid w:val="0"/>
        <w:ind w:firstLine="470" w:firstLineChars="196"/>
        <w:rPr>
          <w:rFonts w:ascii="宋体" w:hAnsi="宋体"/>
          <w:color w:val="000000" w:themeColor="text1"/>
        </w:rPr>
      </w:pPr>
      <w:r>
        <w:rPr>
          <w:rFonts w:ascii="宋体" w:hAnsi="宋体"/>
          <w:color w:val="000000" w:themeColor="text1"/>
        </w:rPr>
        <w:t>（2）明显不符合招标文件</w:t>
      </w:r>
      <w:r>
        <w:rPr>
          <w:rFonts w:hint="eastAsia" w:ascii="宋体" w:hAnsi="宋体"/>
          <w:color w:val="000000" w:themeColor="text1"/>
        </w:rPr>
        <w:t>要求</w:t>
      </w:r>
      <w:r>
        <w:rPr>
          <w:rFonts w:ascii="宋体" w:hAnsi="宋体"/>
          <w:color w:val="000000" w:themeColor="text1"/>
        </w:rPr>
        <w:t>的质量标准，或者</w:t>
      </w:r>
      <w:r>
        <w:rPr>
          <w:rFonts w:hint="eastAsia" w:ascii="宋体" w:hAnsi="宋体"/>
          <w:color w:val="000000" w:themeColor="text1"/>
        </w:rPr>
        <w:t>与</w:t>
      </w:r>
      <w:r>
        <w:rPr>
          <w:rFonts w:ascii="宋体" w:hAnsi="宋体"/>
          <w:color w:val="000000" w:themeColor="text1"/>
        </w:rPr>
        <w:t>招标文件中标</w:t>
      </w:r>
      <w:r>
        <w:rPr>
          <w:rFonts w:hint="eastAsia" w:ascii="宋体" w:hAnsi="宋体"/>
          <w:color w:val="000000" w:themeColor="text1"/>
        </w:rPr>
        <w:t>有</w:t>
      </w:r>
      <w:r>
        <w:rPr>
          <w:rFonts w:ascii="宋体" w:hAnsi="宋体"/>
          <w:color w:val="000000" w:themeColor="text1"/>
        </w:rPr>
        <w:t>“</w:t>
      </w:r>
      <w:r>
        <w:rPr>
          <w:rFonts w:hint="eastAsia" w:ascii="宋体" w:hAnsi="宋体"/>
          <w:color w:val="000000" w:themeColor="text1"/>
        </w:rPr>
        <w:t>▲</w:t>
      </w:r>
      <w:r>
        <w:rPr>
          <w:rFonts w:ascii="宋体" w:hAnsi="宋体"/>
          <w:color w:val="000000" w:themeColor="text1"/>
        </w:rPr>
        <w:t>”的技术指标、主要功能项目发生实质性偏离的；</w:t>
      </w:r>
    </w:p>
    <w:p>
      <w:pPr>
        <w:pStyle w:val="3"/>
        <w:snapToGrid w:val="0"/>
        <w:ind w:firstLine="470" w:firstLineChars="196"/>
        <w:rPr>
          <w:rFonts w:ascii="宋体" w:hAnsi="宋体"/>
          <w:color w:val="000000" w:themeColor="text1"/>
        </w:rPr>
      </w:pPr>
      <w:r>
        <w:rPr>
          <w:rFonts w:ascii="宋体" w:hAnsi="宋体"/>
          <w:color w:val="000000" w:themeColor="text1"/>
        </w:rPr>
        <w:t>（</w:t>
      </w:r>
      <w:r>
        <w:rPr>
          <w:rFonts w:hint="eastAsia" w:ascii="宋体" w:hAnsi="宋体"/>
          <w:color w:val="000000" w:themeColor="text1"/>
        </w:rPr>
        <w:t>3</w:t>
      </w:r>
      <w:r>
        <w:rPr>
          <w:rFonts w:ascii="宋体" w:hAnsi="宋体"/>
          <w:color w:val="000000" w:themeColor="text1"/>
        </w:rPr>
        <w:t>）投标技术方案不明确，存在一个或一个以上备选（替代）投标方案的</w:t>
      </w:r>
      <w:r>
        <w:rPr>
          <w:rFonts w:hint="eastAsia" w:ascii="宋体" w:hAnsi="宋体"/>
          <w:color w:val="000000" w:themeColor="text1"/>
        </w:rPr>
        <w:t>，且未注明哪个是主投方案的；</w:t>
      </w:r>
    </w:p>
    <w:p>
      <w:pPr>
        <w:pStyle w:val="3"/>
        <w:snapToGrid w:val="0"/>
        <w:ind w:firstLine="470" w:firstLineChars="196"/>
        <w:rPr>
          <w:rFonts w:ascii="宋体" w:hAnsi="宋体"/>
          <w:color w:val="000000" w:themeColor="text1"/>
        </w:rPr>
      </w:pPr>
      <w:r>
        <w:rPr>
          <w:rFonts w:hint="eastAsia" w:ascii="宋体" w:hAnsi="宋体"/>
          <w:color w:val="000000" w:themeColor="text1"/>
        </w:rPr>
        <w:t>（4）与其他投标文件存在</w:t>
      </w:r>
      <w:r>
        <w:rPr>
          <w:rFonts w:hint="eastAsia" w:ascii="宋体" w:hAnsi="宋体"/>
          <w:b/>
          <w:color w:val="000000" w:themeColor="text1"/>
          <w:u w:val="single"/>
        </w:rPr>
        <w:t>3处（含）</w:t>
      </w:r>
      <w:r>
        <w:rPr>
          <w:rFonts w:hint="eastAsia" w:ascii="宋体" w:hAnsi="宋体"/>
          <w:color w:val="000000" w:themeColor="text1"/>
        </w:rPr>
        <w:t>以上相同差错的。</w:t>
      </w:r>
    </w:p>
    <w:p>
      <w:pPr>
        <w:pStyle w:val="3"/>
        <w:snapToGrid w:val="0"/>
        <w:ind w:firstLine="472" w:firstLineChars="196"/>
        <w:rPr>
          <w:rFonts w:ascii="宋体" w:hAnsi="宋体"/>
          <w:b/>
          <w:bCs/>
          <w:color w:val="000000" w:themeColor="text1"/>
        </w:rPr>
      </w:pPr>
      <w:r>
        <w:rPr>
          <w:rFonts w:hint="eastAsia" w:ascii="宋体" w:hAnsi="宋体"/>
          <w:b/>
          <w:color w:val="000000" w:themeColor="text1"/>
        </w:rPr>
        <w:t>3．有</w:t>
      </w:r>
      <w:r>
        <w:rPr>
          <w:rFonts w:ascii="宋体" w:hAnsi="宋体"/>
          <w:b/>
          <w:bCs/>
          <w:color w:val="000000" w:themeColor="text1"/>
        </w:rPr>
        <w:t>下列情形之一的，投标文件将被视为无效：</w:t>
      </w:r>
    </w:p>
    <w:p>
      <w:pPr>
        <w:pStyle w:val="3"/>
        <w:snapToGrid w:val="0"/>
        <w:ind w:firstLine="470" w:firstLineChars="196"/>
        <w:rPr>
          <w:rFonts w:ascii="宋体" w:hAnsi="宋体"/>
          <w:color w:val="000000" w:themeColor="text1"/>
        </w:rPr>
      </w:pPr>
      <w:r>
        <w:rPr>
          <w:rFonts w:ascii="宋体" w:hAnsi="宋体"/>
          <w:color w:val="000000" w:themeColor="text1"/>
        </w:rPr>
        <w:t>（1）</w:t>
      </w:r>
      <w:r>
        <w:rPr>
          <w:rFonts w:hint="eastAsia" w:ascii="宋体" w:hAnsi="宋体"/>
          <w:color w:val="000000" w:themeColor="text1"/>
        </w:rPr>
        <w:t>未按招标要求递交的</w:t>
      </w:r>
      <w:r>
        <w:rPr>
          <w:rFonts w:ascii="宋体" w:hAnsi="宋体"/>
          <w:color w:val="000000" w:themeColor="text1"/>
        </w:rPr>
        <w:t>；</w:t>
      </w:r>
    </w:p>
    <w:p>
      <w:pPr>
        <w:pStyle w:val="3"/>
        <w:snapToGrid w:val="0"/>
        <w:ind w:firstLine="470" w:firstLineChars="196"/>
        <w:rPr>
          <w:rFonts w:ascii="宋体" w:hAnsi="宋体"/>
          <w:color w:val="000000" w:themeColor="text1"/>
        </w:rPr>
      </w:pPr>
      <w:r>
        <w:rPr>
          <w:rFonts w:ascii="宋体" w:hAnsi="宋体"/>
          <w:color w:val="000000" w:themeColor="text1"/>
        </w:rPr>
        <w:t>（2）</w:t>
      </w:r>
      <w:r>
        <w:rPr>
          <w:rFonts w:hint="eastAsia" w:ascii="宋体" w:hAnsi="宋体"/>
          <w:color w:val="000000" w:themeColor="text1"/>
        </w:rPr>
        <w:t>经招标人确认，不能满足招标人要求的；</w:t>
      </w:r>
    </w:p>
    <w:p>
      <w:pPr>
        <w:pStyle w:val="3"/>
        <w:snapToGrid w:val="0"/>
        <w:ind w:firstLine="480" w:firstLineChars="200"/>
        <w:rPr>
          <w:rFonts w:ascii="宋体" w:hAnsi="宋体"/>
          <w:color w:val="000000" w:themeColor="text1"/>
        </w:rPr>
      </w:pPr>
      <w:r>
        <w:rPr>
          <w:rFonts w:hint="eastAsia" w:ascii="宋体" w:hAnsi="宋体"/>
          <w:color w:val="000000" w:themeColor="text1"/>
        </w:rPr>
        <w:t>（3）不符合招标公告资格要求的。</w:t>
      </w:r>
    </w:p>
    <w:p>
      <w:pPr>
        <w:pStyle w:val="3"/>
        <w:snapToGrid w:val="0"/>
        <w:ind w:firstLine="472" w:firstLineChars="196"/>
        <w:rPr>
          <w:rFonts w:ascii="宋体" w:hAnsi="宋体"/>
          <w:b/>
          <w:color w:val="000000" w:themeColor="text1"/>
        </w:rPr>
      </w:pPr>
      <w:r>
        <w:rPr>
          <w:rFonts w:ascii="宋体" w:hAnsi="宋体"/>
          <w:b/>
          <w:color w:val="000000" w:themeColor="text1"/>
        </w:rPr>
        <w:t>4</w:t>
      </w:r>
      <w:r>
        <w:rPr>
          <w:rFonts w:hint="eastAsia" w:ascii="宋体" w:hAnsi="宋体"/>
          <w:b/>
          <w:color w:val="000000" w:themeColor="text1"/>
        </w:rPr>
        <w:t>.</w:t>
      </w:r>
      <w:r>
        <w:rPr>
          <w:rFonts w:ascii="宋体" w:hAnsi="宋体"/>
          <w:b/>
          <w:color w:val="000000" w:themeColor="text1"/>
        </w:rPr>
        <w:t>被拒绝的投标文件为无效。</w:t>
      </w:r>
    </w:p>
    <w:p>
      <w:pPr>
        <w:pStyle w:val="3"/>
        <w:snapToGrid w:val="0"/>
        <w:ind w:right="-874" w:rightChars="-416" w:firstLine="551" w:firstLineChars="196"/>
        <w:rPr>
          <w:rFonts w:ascii="宋体" w:hAnsi="宋体"/>
          <w:b/>
          <w:bCs/>
          <w:color w:val="000000" w:themeColor="text1"/>
          <w:sz w:val="28"/>
          <w:szCs w:val="28"/>
        </w:rPr>
      </w:pPr>
    </w:p>
    <w:p>
      <w:pPr>
        <w:pStyle w:val="3"/>
        <w:snapToGrid w:val="0"/>
        <w:ind w:firstLine="0"/>
        <w:outlineLvl w:val="1"/>
        <w:rPr>
          <w:rFonts w:ascii="宋体" w:hAnsi="宋体"/>
          <w:b/>
          <w:color w:val="000000" w:themeColor="text1"/>
          <w:sz w:val="28"/>
          <w:szCs w:val="28"/>
        </w:rPr>
      </w:pPr>
    </w:p>
    <w:p>
      <w:pPr>
        <w:pStyle w:val="5"/>
        <w:ind w:firstLine="0"/>
        <w:jc w:val="center"/>
        <w:rPr>
          <w:rFonts w:ascii="宋体" w:hAnsi="宋体"/>
          <w:b w:val="0"/>
          <w:color w:val="000000" w:themeColor="text1"/>
          <w:sz w:val="32"/>
          <w:szCs w:val="32"/>
        </w:rPr>
      </w:pPr>
      <w:r>
        <w:rPr>
          <w:rFonts w:ascii="宋体" w:hAnsi="宋体"/>
          <w:color w:val="000000" w:themeColor="text1"/>
          <w:sz w:val="28"/>
          <w:szCs w:val="28"/>
        </w:rPr>
        <w:br w:type="page"/>
      </w:r>
      <w:bookmarkStart w:id="122" w:name="_Toc454551081"/>
      <w:r>
        <w:rPr>
          <w:rFonts w:hint="eastAsia" w:ascii="宋体" w:hAnsi="宋体"/>
          <w:i w:val="0"/>
          <w:color w:val="000000" w:themeColor="text1"/>
          <w:sz w:val="32"/>
          <w:szCs w:val="32"/>
        </w:rPr>
        <w:t>第四章  开标及评标办法</w:t>
      </w:r>
      <w:bookmarkEnd w:id="122"/>
    </w:p>
    <w:p>
      <w:pPr>
        <w:pStyle w:val="18"/>
        <w:snapToGrid w:val="0"/>
        <w:spacing w:beforeLines="0" w:afterLines="0" w:line="240" w:lineRule="auto"/>
        <w:rPr>
          <w:rFonts w:hAnsi="宋体"/>
          <w:b/>
          <w:color w:val="000000" w:themeColor="text1"/>
        </w:rPr>
      </w:pPr>
    </w:p>
    <w:p>
      <w:pPr>
        <w:pStyle w:val="18"/>
        <w:snapToGrid w:val="0"/>
        <w:spacing w:beforeLines="0" w:afterLines="0" w:line="360" w:lineRule="auto"/>
        <w:rPr>
          <w:rFonts w:hAnsi="宋体"/>
          <w:b/>
          <w:color w:val="000000" w:themeColor="text1"/>
        </w:rPr>
      </w:pPr>
      <w:r>
        <w:rPr>
          <w:rFonts w:hint="eastAsia" w:hAnsi="宋体"/>
          <w:b/>
          <w:color w:val="000000" w:themeColor="text1"/>
        </w:rPr>
        <w:t>一、</w:t>
      </w:r>
      <w:r>
        <w:rPr>
          <w:rFonts w:hAnsi="宋体"/>
          <w:b/>
          <w:color w:val="000000" w:themeColor="text1"/>
        </w:rPr>
        <w:t>开标准备</w:t>
      </w:r>
    </w:p>
    <w:p>
      <w:pPr>
        <w:pStyle w:val="18"/>
        <w:snapToGrid w:val="0"/>
        <w:spacing w:beforeLines="0" w:afterLines="0" w:line="360" w:lineRule="auto"/>
        <w:ind w:firstLine="480" w:firstLineChars="200"/>
        <w:rPr>
          <w:rFonts w:hAnsi="宋体"/>
          <w:bCs/>
          <w:color w:val="000000" w:themeColor="text1"/>
        </w:rPr>
      </w:pPr>
      <w:r>
        <w:rPr>
          <w:rFonts w:hint="eastAsia" w:hAnsi="宋体"/>
          <w:bCs/>
          <w:color w:val="000000" w:themeColor="text1"/>
        </w:rPr>
        <w:t>本招标项目</w:t>
      </w:r>
      <w:r>
        <w:rPr>
          <w:rFonts w:hAnsi="宋体"/>
          <w:bCs/>
          <w:color w:val="000000" w:themeColor="text1"/>
        </w:rPr>
        <w:t>将在规定的时间和地点进行开标，</w:t>
      </w:r>
      <w:r>
        <w:rPr>
          <w:rFonts w:hint="eastAsia" w:hAnsi="宋体"/>
          <w:bCs/>
          <w:color w:val="000000" w:themeColor="text1"/>
        </w:rPr>
        <w:t>本项目评标采用综合评分法。</w:t>
      </w:r>
    </w:p>
    <w:p>
      <w:pPr>
        <w:pStyle w:val="18"/>
        <w:snapToGrid w:val="0"/>
        <w:spacing w:beforeLines="0" w:afterLines="0" w:line="360" w:lineRule="auto"/>
        <w:outlineLvl w:val="1"/>
        <w:rPr>
          <w:rFonts w:hAnsi="宋体"/>
          <w:b/>
          <w:color w:val="000000" w:themeColor="text1"/>
        </w:rPr>
      </w:pPr>
      <w:bookmarkStart w:id="123" w:name="_Toc427442468"/>
      <w:bookmarkStart w:id="124" w:name="_Toc249866769"/>
      <w:bookmarkStart w:id="125" w:name="_Toc444597104"/>
      <w:bookmarkStart w:id="126" w:name="_Toc429406716"/>
      <w:bookmarkStart w:id="127" w:name="_Toc259108326"/>
      <w:bookmarkStart w:id="128" w:name="_Toc436314553"/>
      <w:bookmarkStart w:id="129" w:name="_Toc355117129"/>
    </w:p>
    <w:p>
      <w:pPr>
        <w:pStyle w:val="18"/>
        <w:snapToGrid w:val="0"/>
        <w:spacing w:beforeLines="0" w:afterLines="0" w:line="360" w:lineRule="auto"/>
        <w:outlineLvl w:val="1"/>
        <w:rPr>
          <w:rFonts w:hAnsi="宋体"/>
          <w:b/>
          <w:color w:val="000000" w:themeColor="text1"/>
        </w:rPr>
      </w:pPr>
      <w:bookmarkStart w:id="130" w:name="_Toc454551082"/>
      <w:r>
        <w:rPr>
          <w:rFonts w:hint="eastAsia" w:hAnsi="宋体"/>
          <w:b/>
          <w:color w:val="000000" w:themeColor="text1"/>
        </w:rPr>
        <w:t>二、评标</w:t>
      </w:r>
      <w:bookmarkEnd w:id="123"/>
      <w:bookmarkEnd w:id="124"/>
      <w:bookmarkEnd w:id="125"/>
      <w:bookmarkEnd w:id="126"/>
      <w:bookmarkEnd w:id="127"/>
      <w:bookmarkEnd w:id="128"/>
      <w:bookmarkEnd w:id="129"/>
      <w:bookmarkEnd w:id="130"/>
    </w:p>
    <w:p>
      <w:pPr>
        <w:pStyle w:val="18"/>
        <w:snapToGrid w:val="0"/>
        <w:spacing w:beforeLines="0" w:afterLines="0" w:line="360" w:lineRule="auto"/>
        <w:ind w:left="720" w:leftChars="228" w:hanging="241" w:hangingChars="100"/>
        <w:rPr>
          <w:rFonts w:hAnsi="宋体"/>
          <w:b/>
          <w:color w:val="000000" w:themeColor="text1"/>
        </w:rPr>
      </w:pPr>
      <w:r>
        <w:rPr>
          <w:rFonts w:hAnsi="宋体"/>
          <w:b/>
          <w:color w:val="000000" w:themeColor="text1"/>
        </w:rPr>
        <w:t>（一）组建评标委员会</w:t>
      </w:r>
    </w:p>
    <w:p>
      <w:pPr>
        <w:pStyle w:val="18"/>
        <w:snapToGrid w:val="0"/>
        <w:spacing w:beforeLines="0" w:afterLines="0" w:line="360" w:lineRule="auto"/>
        <w:ind w:firstLine="484" w:firstLineChars="202"/>
        <w:rPr>
          <w:rFonts w:hAnsi="宋体"/>
          <w:color w:val="000000" w:themeColor="text1"/>
        </w:rPr>
      </w:pPr>
      <w:r>
        <w:rPr>
          <w:rFonts w:hAnsi="宋体"/>
          <w:color w:val="000000" w:themeColor="text1"/>
        </w:rPr>
        <w:t>本项目评标委员会由</w:t>
      </w:r>
      <w:r>
        <w:rPr>
          <w:rFonts w:hint="eastAsia" w:hAnsi="宋体"/>
          <w:color w:val="000000" w:themeColor="text1"/>
        </w:rPr>
        <w:t>相关专业的</w:t>
      </w:r>
      <w:r>
        <w:rPr>
          <w:rFonts w:hAnsi="宋体"/>
          <w:color w:val="000000" w:themeColor="text1"/>
        </w:rPr>
        <w:t>评审专家</w:t>
      </w:r>
      <w:r>
        <w:rPr>
          <w:rFonts w:hint="eastAsia" w:hAnsi="宋体"/>
          <w:color w:val="000000" w:themeColor="text1"/>
        </w:rPr>
        <w:t>和招标单位代表按相关要求奇数组成</w:t>
      </w:r>
      <w:r>
        <w:rPr>
          <w:rFonts w:hAnsi="宋体"/>
          <w:color w:val="000000" w:themeColor="text1"/>
        </w:rPr>
        <w:t>。</w:t>
      </w:r>
    </w:p>
    <w:p>
      <w:pPr>
        <w:pStyle w:val="18"/>
        <w:snapToGrid w:val="0"/>
        <w:spacing w:beforeLines="0" w:afterLines="0" w:line="360" w:lineRule="auto"/>
        <w:ind w:left="720" w:leftChars="228" w:hanging="241" w:hangingChars="100"/>
        <w:rPr>
          <w:rFonts w:hAnsi="宋体"/>
          <w:b/>
          <w:color w:val="000000" w:themeColor="text1"/>
        </w:rPr>
      </w:pPr>
      <w:r>
        <w:rPr>
          <w:rFonts w:hAnsi="宋体"/>
          <w:b/>
          <w:color w:val="000000" w:themeColor="text1"/>
        </w:rPr>
        <w:t>（二）评标的方式</w:t>
      </w:r>
    </w:p>
    <w:p>
      <w:pPr>
        <w:pStyle w:val="18"/>
        <w:snapToGrid w:val="0"/>
        <w:spacing w:before="120" w:after="120" w:line="360" w:lineRule="auto"/>
        <w:ind w:left="317" w:leftChars="151" w:firstLine="213" w:firstLineChars="89"/>
        <w:rPr>
          <w:rFonts w:hAnsi="宋体"/>
          <w:color w:val="000000" w:themeColor="text1"/>
        </w:rPr>
      </w:pPr>
      <w:r>
        <w:rPr>
          <w:rFonts w:hAnsi="宋体"/>
          <w:color w:val="000000" w:themeColor="text1"/>
        </w:rPr>
        <w:t>本项目采用不公开方式评标，评标的依据为招标文件和投标文件。</w:t>
      </w:r>
    </w:p>
    <w:p>
      <w:pPr>
        <w:pStyle w:val="18"/>
        <w:snapToGrid w:val="0"/>
        <w:spacing w:beforeLines="0" w:afterLines="0" w:line="360" w:lineRule="auto"/>
        <w:ind w:left="720" w:leftChars="228" w:hanging="241" w:hangingChars="100"/>
        <w:rPr>
          <w:rFonts w:hAnsi="宋体"/>
          <w:b/>
          <w:color w:val="000000" w:themeColor="text1"/>
        </w:rPr>
      </w:pPr>
      <w:r>
        <w:rPr>
          <w:rFonts w:hAnsi="宋体"/>
          <w:b/>
          <w:color w:val="000000" w:themeColor="text1"/>
        </w:rPr>
        <w:t>（</w:t>
      </w:r>
      <w:r>
        <w:rPr>
          <w:rFonts w:hint="eastAsia" w:hAnsi="宋体"/>
          <w:b/>
          <w:color w:val="000000" w:themeColor="text1"/>
        </w:rPr>
        <w:t>三</w:t>
      </w:r>
      <w:r>
        <w:rPr>
          <w:rFonts w:hAnsi="宋体"/>
          <w:b/>
          <w:color w:val="000000" w:themeColor="text1"/>
        </w:rPr>
        <w:t>）评标程序</w:t>
      </w:r>
    </w:p>
    <w:p>
      <w:pPr>
        <w:snapToGrid w:val="0"/>
        <w:spacing w:beforeLines="50" w:line="360" w:lineRule="auto"/>
        <w:ind w:firstLine="472" w:firstLineChars="196"/>
        <w:rPr>
          <w:rFonts w:ascii="宋体" w:hAnsi="宋体"/>
          <w:b/>
          <w:bCs/>
          <w:color w:val="000000" w:themeColor="text1"/>
          <w:sz w:val="24"/>
        </w:rPr>
      </w:pPr>
      <w:r>
        <w:rPr>
          <w:rFonts w:ascii="宋体" w:hAnsi="宋体"/>
          <w:b/>
          <w:bCs/>
          <w:color w:val="000000" w:themeColor="text1"/>
          <w:sz w:val="24"/>
        </w:rPr>
        <w:t>1.</w:t>
      </w:r>
      <w:r>
        <w:rPr>
          <w:rFonts w:hint="eastAsia" w:ascii="宋体" w:hAnsi="宋体"/>
          <w:b/>
          <w:bCs/>
          <w:color w:val="000000" w:themeColor="text1"/>
          <w:sz w:val="24"/>
        </w:rPr>
        <w:t>资格</w:t>
      </w:r>
      <w:r>
        <w:rPr>
          <w:rFonts w:ascii="宋体" w:hAnsi="宋体"/>
          <w:b/>
          <w:bCs/>
          <w:color w:val="000000" w:themeColor="text1"/>
          <w:sz w:val="24"/>
        </w:rPr>
        <w:t>审查</w:t>
      </w:r>
    </w:p>
    <w:p>
      <w:pPr>
        <w:snapToGrid w:val="0"/>
        <w:spacing w:line="360" w:lineRule="auto"/>
        <w:ind w:firstLine="480" w:firstLineChars="200"/>
        <w:rPr>
          <w:rFonts w:ascii="宋体" w:hAnsi="宋体"/>
          <w:color w:val="000000" w:themeColor="text1"/>
          <w:sz w:val="24"/>
        </w:rPr>
      </w:pPr>
      <w:r>
        <w:rPr>
          <w:rFonts w:ascii="宋体" w:hAnsi="宋体"/>
          <w:color w:val="000000" w:themeColor="text1"/>
          <w:sz w:val="24"/>
        </w:rPr>
        <w:t>评标委员会对投标人的资格和投标文件的完整性、合法性等进行审查。</w:t>
      </w:r>
    </w:p>
    <w:p>
      <w:pPr>
        <w:snapToGrid w:val="0"/>
        <w:spacing w:beforeLines="50" w:line="360" w:lineRule="auto"/>
        <w:ind w:firstLine="472" w:firstLineChars="196"/>
        <w:rPr>
          <w:rFonts w:ascii="宋体" w:hAnsi="宋体"/>
          <w:b/>
          <w:bCs/>
          <w:color w:val="000000" w:themeColor="text1"/>
          <w:sz w:val="24"/>
        </w:rPr>
      </w:pPr>
      <w:r>
        <w:rPr>
          <w:rFonts w:ascii="宋体" w:hAnsi="宋体"/>
          <w:b/>
          <w:bCs/>
          <w:color w:val="000000" w:themeColor="text1"/>
          <w:sz w:val="24"/>
        </w:rPr>
        <w:t>2.实质审查与比较</w:t>
      </w:r>
    </w:p>
    <w:p>
      <w:pPr>
        <w:snapToGrid w:val="0"/>
        <w:spacing w:line="360" w:lineRule="auto"/>
        <w:ind w:firstLine="480" w:firstLineChars="200"/>
        <w:rPr>
          <w:rFonts w:ascii="宋体" w:hAnsi="宋体"/>
          <w:color w:val="000000" w:themeColor="text1"/>
          <w:sz w:val="24"/>
        </w:rPr>
      </w:pPr>
      <w:r>
        <w:rPr>
          <w:rFonts w:ascii="宋体" w:hAnsi="宋体"/>
          <w:color w:val="000000" w:themeColor="text1"/>
          <w:sz w:val="24"/>
        </w:rPr>
        <w:t>（1）评标委员会审查投标文件的实质性内容是否符合招标文件的实质性要求。</w:t>
      </w:r>
    </w:p>
    <w:p>
      <w:pPr>
        <w:snapToGrid w:val="0"/>
        <w:spacing w:line="360" w:lineRule="auto"/>
        <w:ind w:firstLine="480" w:firstLineChars="200"/>
        <w:rPr>
          <w:rFonts w:ascii="宋体" w:hAnsi="宋体"/>
          <w:color w:val="000000" w:themeColor="text1"/>
          <w:sz w:val="24"/>
        </w:rPr>
      </w:pPr>
      <w:r>
        <w:rPr>
          <w:rFonts w:ascii="宋体" w:hAnsi="宋体"/>
          <w:color w:val="000000" w:themeColor="text1"/>
          <w:sz w:val="24"/>
        </w:rPr>
        <w:t>（2）评标委员会将根据投标人的投标文件进行审查、核对</w:t>
      </w:r>
      <w:r>
        <w:rPr>
          <w:rFonts w:hint="eastAsia" w:ascii="宋体" w:hAnsi="宋体"/>
          <w:color w:val="000000" w:themeColor="text1"/>
          <w:sz w:val="24"/>
        </w:rPr>
        <w:t>，</w:t>
      </w:r>
      <w:r>
        <w:rPr>
          <w:rFonts w:ascii="宋体" w:hAnsi="宋体"/>
          <w:color w:val="000000" w:themeColor="text1"/>
          <w:sz w:val="24"/>
        </w:rPr>
        <w:t>如有疑问</w:t>
      </w:r>
      <w:r>
        <w:rPr>
          <w:rFonts w:hint="eastAsia" w:ascii="宋体" w:hAnsi="宋体"/>
          <w:color w:val="000000" w:themeColor="text1"/>
          <w:sz w:val="24"/>
        </w:rPr>
        <w:t>，</w:t>
      </w:r>
      <w:r>
        <w:rPr>
          <w:rFonts w:ascii="宋体" w:hAnsi="宋体"/>
          <w:color w:val="000000" w:themeColor="text1"/>
          <w:sz w:val="24"/>
        </w:rPr>
        <w:t>将对投标人进行询标</w:t>
      </w:r>
      <w:r>
        <w:rPr>
          <w:rFonts w:hint="eastAsia" w:ascii="宋体" w:hAnsi="宋体"/>
          <w:color w:val="000000" w:themeColor="text1"/>
          <w:sz w:val="24"/>
        </w:rPr>
        <w:t>，</w:t>
      </w:r>
      <w:r>
        <w:rPr>
          <w:rFonts w:ascii="宋体" w:hAnsi="宋体"/>
          <w:color w:val="000000" w:themeColor="text1"/>
          <w:sz w:val="24"/>
        </w:rPr>
        <w:t>投标人要向评标委员会澄清有关问题</w:t>
      </w:r>
      <w:r>
        <w:rPr>
          <w:rFonts w:hint="eastAsia" w:ascii="宋体" w:hAnsi="宋体"/>
          <w:color w:val="000000" w:themeColor="text1"/>
          <w:sz w:val="24"/>
        </w:rPr>
        <w:t>，</w:t>
      </w:r>
      <w:r>
        <w:rPr>
          <w:rFonts w:ascii="宋体" w:hAnsi="宋体"/>
          <w:color w:val="000000" w:themeColor="text1"/>
          <w:sz w:val="24"/>
        </w:rPr>
        <w:t>并最终以书面形式进行答复。</w:t>
      </w:r>
    </w:p>
    <w:p>
      <w:pPr>
        <w:snapToGrid w:val="0"/>
        <w:spacing w:line="360" w:lineRule="auto"/>
        <w:ind w:firstLine="480" w:firstLineChars="200"/>
        <w:rPr>
          <w:rFonts w:ascii="宋体" w:hAnsi="宋体"/>
          <w:color w:val="000000" w:themeColor="text1"/>
          <w:sz w:val="24"/>
        </w:rPr>
      </w:pPr>
      <w:r>
        <w:rPr>
          <w:rFonts w:ascii="宋体" w:hAnsi="宋体"/>
          <w:color w:val="000000" w:themeColor="text1"/>
          <w:sz w:val="24"/>
        </w:rPr>
        <w:t>投标人代表未到场或者拒绝澄清或者澄清的内容改变了投标文件的实质性内容的，评标委员会有权对该投标文件</w:t>
      </w:r>
      <w:r>
        <w:rPr>
          <w:rFonts w:hint="eastAsia" w:ascii="宋体" w:hAnsi="宋体"/>
          <w:color w:val="000000" w:themeColor="text1"/>
          <w:sz w:val="24"/>
        </w:rPr>
        <w:t>做出</w:t>
      </w:r>
      <w:r>
        <w:rPr>
          <w:rFonts w:ascii="宋体" w:hAnsi="宋体"/>
          <w:color w:val="000000" w:themeColor="text1"/>
          <w:sz w:val="24"/>
        </w:rPr>
        <w:t>不利于投标人的评判。</w:t>
      </w:r>
    </w:p>
    <w:p>
      <w:pPr>
        <w:snapToGrid w:val="0"/>
        <w:spacing w:line="360" w:lineRule="auto"/>
        <w:ind w:firstLine="480" w:firstLineChars="200"/>
        <w:rPr>
          <w:rFonts w:ascii="宋体" w:hAnsi="宋体"/>
          <w:color w:val="000000" w:themeColor="text1"/>
          <w:sz w:val="24"/>
        </w:rPr>
      </w:pPr>
      <w:r>
        <w:rPr>
          <w:rFonts w:ascii="宋体" w:hAnsi="宋体"/>
          <w:color w:val="000000" w:themeColor="text1"/>
          <w:sz w:val="24"/>
        </w:rPr>
        <w:t>（3）各</w:t>
      </w:r>
      <w:r>
        <w:rPr>
          <w:rFonts w:hint="eastAsia" w:ascii="宋体" w:hAnsi="宋体"/>
          <w:color w:val="000000" w:themeColor="text1"/>
          <w:sz w:val="24"/>
        </w:rPr>
        <w:t>评委独立打分，</w:t>
      </w:r>
      <w:r>
        <w:rPr>
          <w:rFonts w:ascii="宋体" w:hAnsi="宋体"/>
          <w:color w:val="000000" w:themeColor="text1"/>
          <w:sz w:val="24"/>
        </w:rPr>
        <w:t>投标人的</w:t>
      </w:r>
      <w:r>
        <w:rPr>
          <w:rFonts w:hint="eastAsia" w:ascii="宋体" w:hAnsi="宋体"/>
          <w:color w:val="000000" w:themeColor="text1"/>
          <w:sz w:val="24"/>
        </w:rPr>
        <w:t>综合得分</w:t>
      </w:r>
      <w:r>
        <w:rPr>
          <w:rFonts w:ascii="宋体" w:hAnsi="宋体"/>
          <w:color w:val="000000" w:themeColor="text1"/>
          <w:sz w:val="24"/>
        </w:rPr>
        <w:t>为所有评委的有效评分的算术平均数，由指定专人进行计算复核。</w:t>
      </w:r>
    </w:p>
    <w:p>
      <w:pPr>
        <w:snapToGrid w:val="0"/>
        <w:spacing w:line="360" w:lineRule="auto"/>
        <w:ind w:firstLine="480" w:firstLineChars="200"/>
        <w:rPr>
          <w:rFonts w:ascii="宋体" w:hAnsi="宋体"/>
          <w:color w:val="000000" w:themeColor="text1"/>
          <w:sz w:val="24"/>
        </w:rPr>
      </w:pPr>
      <w:r>
        <w:rPr>
          <w:rFonts w:ascii="宋体" w:hAnsi="宋体"/>
          <w:color w:val="000000" w:themeColor="text1"/>
          <w:sz w:val="24"/>
        </w:rPr>
        <w:t>（</w:t>
      </w:r>
      <w:r>
        <w:rPr>
          <w:rFonts w:hint="eastAsia" w:ascii="宋体" w:hAnsi="宋体"/>
          <w:color w:val="000000" w:themeColor="text1"/>
          <w:sz w:val="24"/>
        </w:rPr>
        <w:t>4</w:t>
      </w:r>
      <w:r>
        <w:rPr>
          <w:rFonts w:ascii="宋体" w:hAnsi="宋体"/>
          <w:color w:val="000000" w:themeColor="text1"/>
          <w:sz w:val="24"/>
        </w:rPr>
        <w:t>）</w:t>
      </w:r>
      <w:r>
        <w:rPr>
          <w:rFonts w:ascii="宋体" w:hAnsi="宋体"/>
          <w:color w:val="FF0000"/>
          <w:sz w:val="24"/>
        </w:rPr>
        <w:t>评标委员会推荐</w:t>
      </w:r>
      <w:r>
        <w:rPr>
          <w:rFonts w:hint="eastAsia" w:ascii="宋体" w:hAnsi="宋体"/>
          <w:color w:val="FF0000"/>
          <w:sz w:val="24"/>
        </w:rPr>
        <w:t>综合得分</w:t>
      </w:r>
      <w:r>
        <w:rPr>
          <w:rFonts w:hint="eastAsia" w:ascii="宋体" w:hAnsi="宋体"/>
          <w:color w:val="FF0000"/>
          <w:sz w:val="24"/>
          <w:lang w:val="en-US" w:eastAsia="zh-CN"/>
        </w:rPr>
        <w:t>前五名</w:t>
      </w:r>
      <w:r>
        <w:rPr>
          <w:rFonts w:hint="eastAsia" w:ascii="宋体" w:hAnsi="宋体"/>
          <w:color w:val="FF0000"/>
          <w:sz w:val="24"/>
        </w:rPr>
        <w:t>的投标人成为本项目的</w:t>
      </w:r>
      <w:r>
        <w:rPr>
          <w:rFonts w:ascii="宋体" w:hAnsi="宋体"/>
          <w:color w:val="FF0000"/>
          <w:sz w:val="24"/>
        </w:rPr>
        <w:t>中标</w:t>
      </w:r>
      <w:r>
        <w:rPr>
          <w:rFonts w:hint="eastAsia" w:ascii="宋体" w:hAnsi="宋体"/>
          <w:color w:val="FF0000"/>
          <w:sz w:val="24"/>
        </w:rPr>
        <w:t>候选人</w:t>
      </w:r>
      <w:r>
        <w:rPr>
          <w:rFonts w:ascii="宋体" w:hAnsi="宋体"/>
          <w:color w:val="000000" w:themeColor="text1"/>
          <w:sz w:val="24"/>
        </w:rPr>
        <w:t>。</w:t>
      </w:r>
    </w:p>
    <w:p>
      <w:pPr>
        <w:pStyle w:val="18"/>
        <w:snapToGrid w:val="0"/>
        <w:spacing w:beforeLines="0" w:afterLines="0" w:line="360" w:lineRule="auto"/>
        <w:ind w:left="720" w:leftChars="228" w:hanging="241" w:hangingChars="100"/>
        <w:rPr>
          <w:rFonts w:hAnsi="宋体"/>
          <w:b/>
          <w:color w:val="000000" w:themeColor="text1"/>
        </w:rPr>
      </w:pPr>
      <w:r>
        <w:rPr>
          <w:rFonts w:hint="eastAsia" w:hAnsi="宋体"/>
          <w:b/>
          <w:color w:val="000000" w:themeColor="text1"/>
        </w:rPr>
        <w:t>（四）澄清问题的形式</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对投标文件中含义不明确、同类问题表述不一致或者有明显文字和计算错误的内容，评标委员会可要求投标人做出必要的澄清、说明或者纠正。投标人的澄清、说明或者补正应当采用书面形式，由其授权代表签字或盖章确认，并不得超出投标文件的范围或者改变投标文件的实质性内容。</w:t>
      </w:r>
    </w:p>
    <w:p>
      <w:pPr>
        <w:pStyle w:val="18"/>
        <w:snapToGrid w:val="0"/>
        <w:spacing w:beforeLines="0" w:afterLines="0" w:line="360" w:lineRule="auto"/>
        <w:ind w:left="720" w:leftChars="228" w:hanging="241" w:hangingChars="100"/>
        <w:rPr>
          <w:rFonts w:hAnsi="宋体"/>
          <w:b/>
          <w:color w:val="000000" w:themeColor="text1"/>
        </w:rPr>
      </w:pPr>
      <w:r>
        <w:rPr>
          <w:rFonts w:hAnsi="宋体"/>
          <w:b/>
          <w:color w:val="000000" w:themeColor="text1"/>
        </w:rPr>
        <w:t>（</w:t>
      </w:r>
      <w:r>
        <w:rPr>
          <w:rFonts w:hint="eastAsia" w:hAnsi="宋体"/>
          <w:b/>
          <w:color w:val="000000" w:themeColor="text1"/>
        </w:rPr>
        <w:t>五</w:t>
      </w:r>
      <w:r>
        <w:rPr>
          <w:rFonts w:hAnsi="宋体"/>
          <w:b/>
          <w:color w:val="000000" w:themeColor="text1"/>
        </w:rPr>
        <w:t>）错误修正</w:t>
      </w:r>
    </w:p>
    <w:p>
      <w:pPr>
        <w:pStyle w:val="18"/>
        <w:snapToGrid w:val="0"/>
        <w:spacing w:beforeLines="0" w:afterLines="0" w:line="360" w:lineRule="auto"/>
        <w:ind w:left="719" w:leftChars="228" w:hanging="240" w:hangingChars="100"/>
        <w:rPr>
          <w:rFonts w:hAnsi="宋体"/>
          <w:color w:val="000000" w:themeColor="text1"/>
        </w:rPr>
      </w:pPr>
      <w:r>
        <w:rPr>
          <w:rFonts w:hAnsi="宋体"/>
          <w:color w:val="000000" w:themeColor="text1"/>
        </w:rPr>
        <w:t>投标文件如果出现计算或表达上的错误，修正错误的原则如下：</w:t>
      </w:r>
    </w:p>
    <w:p>
      <w:pPr>
        <w:pStyle w:val="18"/>
        <w:numPr>
          <w:ilvl w:val="0"/>
          <w:numId w:val="3"/>
        </w:numPr>
        <w:snapToGrid w:val="0"/>
        <w:spacing w:beforeLines="0" w:afterLines="0" w:line="360" w:lineRule="auto"/>
        <w:rPr>
          <w:rFonts w:hAnsi="宋体"/>
          <w:color w:val="000000" w:themeColor="text1"/>
        </w:rPr>
      </w:pPr>
      <w:r>
        <w:rPr>
          <w:rFonts w:hAnsi="宋体"/>
          <w:color w:val="000000" w:themeColor="text1"/>
        </w:rPr>
        <w:t>对不同文字文本投标文件的解释发生异议的，以中文文本为准。</w:t>
      </w:r>
    </w:p>
    <w:p>
      <w:pPr>
        <w:pStyle w:val="18"/>
        <w:numPr>
          <w:ilvl w:val="0"/>
          <w:numId w:val="3"/>
        </w:numPr>
        <w:snapToGrid w:val="0"/>
        <w:spacing w:beforeLines="0" w:afterLines="0" w:line="360" w:lineRule="auto"/>
        <w:rPr>
          <w:rFonts w:hAnsi="宋体"/>
          <w:b/>
          <w:color w:val="000000" w:themeColor="text1"/>
        </w:rPr>
      </w:pPr>
      <w:r>
        <w:rPr>
          <w:rFonts w:hint="eastAsia" w:hAnsi="宋体"/>
          <w:color w:val="000000" w:themeColor="text1"/>
        </w:rPr>
        <w:t>对于实质性的内容，不能修正。</w:t>
      </w:r>
    </w:p>
    <w:p>
      <w:pPr>
        <w:pStyle w:val="18"/>
        <w:tabs>
          <w:tab w:val="left" w:pos="630"/>
        </w:tabs>
        <w:snapToGrid w:val="0"/>
        <w:spacing w:beforeLines="0" w:afterLines="0" w:line="360" w:lineRule="auto"/>
        <w:rPr>
          <w:rFonts w:hAnsi="宋体"/>
          <w:b/>
          <w:color w:val="000000" w:themeColor="text1"/>
        </w:rPr>
      </w:pPr>
      <w:r>
        <w:rPr>
          <w:rFonts w:hint="eastAsia" w:hAnsi="宋体"/>
          <w:b/>
          <w:color w:val="000000" w:themeColor="text1"/>
        </w:rPr>
        <w:t>四、</w:t>
      </w:r>
      <w:r>
        <w:rPr>
          <w:rFonts w:hAnsi="宋体"/>
          <w:b/>
          <w:color w:val="000000" w:themeColor="text1"/>
        </w:rPr>
        <w:t>评标原则和评标办法</w:t>
      </w:r>
    </w:p>
    <w:p>
      <w:pPr>
        <w:pStyle w:val="18"/>
        <w:snapToGrid w:val="0"/>
        <w:spacing w:beforeLines="0" w:afterLines="0" w:line="360" w:lineRule="auto"/>
        <w:ind w:firstLine="482" w:firstLineChars="200"/>
        <w:rPr>
          <w:rFonts w:hAnsi="宋体"/>
          <w:color w:val="000000" w:themeColor="text1"/>
        </w:rPr>
      </w:pPr>
      <w:r>
        <w:rPr>
          <w:rFonts w:hint="eastAsia" w:hAnsi="宋体"/>
          <w:b/>
          <w:color w:val="000000" w:themeColor="text1"/>
        </w:rPr>
        <w:t>（一）</w:t>
      </w:r>
      <w:r>
        <w:rPr>
          <w:rFonts w:hAnsi="宋体"/>
          <w:b/>
          <w:color w:val="000000" w:themeColor="text1"/>
        </w:rPr>
        <w:t>评标原则。</w:t>
      </w:r>
      <w:r>
        <w:rPr>
          <w:rFonts w:hAnsi="宋体"/>
          <w:color w:val="000000" w:themeColor="text1"/>
        </w:rPr>
        <w:t>评标委员会必须公平、公正、客观，不带任何倾向性和启发性；不得向外界透露任何与评标有关的内容；任何单位和个人不得干扰、影响评标的正常进行；评标委员会及有关工作人员不得私下与投标人接触。</w:t>
      </w:r>
    </w:p>
    <w:p>
      <w:pPr>
        <w:spacing w:beforeLines="50" w:line="360" w:lineRule="auto"/>
        <w:ind w:firstLine="482" w:firstLineChars="200"/>
        <w:rPr>
          <w:rFonts w:ascii="宋体" w:hAnsi="宋体"/>
          <w:color w:val="000000" w:themeColor="text1"/>
          <w:sz w:val="24"/>
        </w:rPr>
      </w:pPr>
      <w:r>
        <w:rPr>
          <w:rFonts w:hint="eastAsia" w:ascii="宋体" w:hAnsi="宋体"/>
          <w:b/>
          <w:color w:val="000000" w:themeColor="text1"/>
          <w:sz w:val="24"/>
        </w:rPr>
        <w:t>（二）</w:t>
      </w:r>
      <w:r>
        <w:rPr>
          <w:rFonts w:ascii="宋体" w:hAnsi="宋体"/>
          <w:b/>
          <w:color w:val="000000" w:themeColor="text1"/>
          <w:sz w:val="24"/>
        </w:rPr>
        <w:t>评标办法。</w:t>
      </w:r>
      <w:r>
        <w:rPr>
          <w:rFonts w:ascii="宋体" w:hAnsi="宋体"/>
          <w:color w:val="000000" w:themeColor="text1"/>
          <w:sz w:val="24"/>
        </w:rPr>
        <w:t>本项目评标办法</w:t>
      </w:r>
      <w:r>
        <w:rPr>
          <w:rFonts w:hint="eastAsia" w:ascii="宋体" w:hAnsi="宋体"/>
          <w:color w:val="000000" w:themeColor="text1"/>
          <w:sz w:val="24"/>
        </w:rPr>
        <w:t xml:space="preserve">为 </w:t>
      </w:r>
      <w:r>
        <w:rPr>
          <w:rFonts w:hint="eastAsia" w:ascii="宋体" w:hAnsi="宋体"/>
          <w:b/>
          <w:color w:val="000000" w:themeColor="text1"/>
          <w:sz w:val="24"/>
          <w:u w:val="single"/>
        </w:rPr>
        <w:t>综合评分法</w:t>
      </w:r>
      <w:r>
        <w:rPr>
          <w:rFonts w:hint="eastAsia" w:ascii="宋体" w:hAnsi="宋体"/>
          <w:color w:val="000000" w:themeColor="text1"/>
          <w:sz w:val="24"/>
        </w:rPr>
        <w:t>：</w:t>
      </w:r>
      <w:r>
        <w:rPr>
          <w:rFonts w:ascii="宋体" w:hAnsi="宋体"/>
          <w:color w:val="000000" w:themeColor="text1"/>
          <w:sz w:val="24"/>
          <w:u w:val="single"/>
        </w:rPr>
        <w:t>总分为100分</w:t>
      </w:r>
      <w:r>
        <w:rPr>
          <w:rFonts w:ascii="宋体" w:hAnsi="宋体"/>
          <w:color w:val="000000" w:themeColor="text1"/>
          <w:sz w:val="24"/>
        </w:rPr>
        <w:t>。</w:t>
      </w:r>
      <w:r>
        <w:rPr>
          <w:rFonts w:hint="eastAsia" w:ascii="宋体" w:hAnsi="宋体"/>
          <w:color w:val="000000" w:themeColor="text1"/>
          <w:sz w:val="24"/>
        </w:rPr>
        <w:t>合格投标人的评标得分为各项得分汇总，中标候选资格按评标总得分由高到低顺序排列；总得分相同的，按</w:t>
      </w:r>
      <w:r>
        <w:rPr>
          <w:rFonts w:hint="eastAsia" w:ascii="宋体" w:hAnsi="宋体" w:cs="宋体"/>
          <w:color w:val="000000" w:themeColor="text1"/>
          <w:sz w:val="24"/>
        </w:rPr>
        <w:t>服务水平得分由高到低排列；总得分和服务水平得分均相同的，</w:t>
      </w:r>
      <w:r>
        <w:rPr>
          <w:rFonts w:hint="eastAsia" w:ascii="宋体" w:hAnsi="宋体"/>
          <w:color w:val="000000" w:themeColor="text1"/>
          <w:sz w:val="24"/>
        </w:rPr>
        <w:t>则抽签决定。评分过程中采用四舍五入法，并保留小数点后1位。</w:t>
      </w:r>
    </w:p>
    <w:p>
      <w:pPr>
        <w:pStyle w:val="18"/>
        <w:snapToGrid w:val="0"/>
        <w:spacing w:before="120" w:after="120" w:line="360" w:lineRule="auto"/>
        <w:ind w:left="317" w:leftChars="151" w:firstLine="120" w:firstLineChars="50"/>
        <w:rPr>
          <w:rFonts w:hAnsi="宋体"/>
          <w:b/>
          <w:color w:val="000000" w:themeColor="text1"/>
        </w:rPr>
      </w:pPr>
      <w:r>
        <w:rPr>
          <w:rFonts w:hint="eastAsia" w:hAnsi="宋体"/>
          <w:b/>
          <w:color w:val="000000" w:themeColor="text1"/>
        </w:rPr>
        <w:t>（三）评标过程保密要求</w:t>
      </w:r>
    </w:p>
    <w:p>
      <w:pPr>
        <w:pStyle w:val="18"/>
        <w:snapToGrid w:val="0"/>
        <w:spacing w:before="120" w:after="120" w:line="360" w:lineRule="auto"/>
        <w:ind w:firstLine="480" w:firstLineChars="200"/>
        <w:rPr>
          <w:rFonts w:hAnsi="宋体"/>
          <w:b/>
          <w:color w:val="000000" w:themeColor="text1"/>
        </w:rPr>
      </w:pPr>
      <w:r>
        <w:rPr>
          <w:rFonts w:hint="eastAsia" w:hAnsi="宋体"/>
          <w:color w:val="000000" w:themeColor="text1"/>
        </w:rPr>
        <w:t>开标之后，直到发出中标通知书之前，凡是涉及评标委员会名单、投标文件的澄清、评价、比较各投标的有关资料以及授标意向等，评标委员会成员、招标人和招标代理公司的有关人员均不得向投标人或其他无关的人员透露。</w:t>
      </w:r>
      <w:bookmarkStart w:id="131" w:name="_Toc249866770"/>
      <w:bookmarkStart w:id="132" w:name="_Toc259108327"/>
    </w:p>
    <w:p>
      <w:pPr>
        <w:pStyle w:val="18"/>
        <w:snapToGrid w:val="0"/>
        <w:spacing w:beforeLines="0" w:afterLines="0" w:line="360" w:lineRule="auto"/>
        <w:outlineLvl w:val="1"/>
        <w:rPr>
          <w:rFonts w:hAnsi="宋体"/>
          <w:b/>
          <w:color w:val="000000" w:themeColor="text1"/>
        </w:rPr>
      </w:pPr>
      <w:bookmarkStart w:id="133" w:name="_Toc444597105"/>
      <w:bookmarkStart w:id="134" w:name="_Toc427442469"/>
      <w:bookmarkStart w:id="135" w:name="_Toc355117130"/>
      <w:bookmarkStart w:id="136" w:name="_Toc454551083"/>
      <w:bookmarkStart w:id="137" w:name="_Toc436314554"/>
      <w:bookmarkStart w:id="138" w:name="_Toc429406717"/>
      <w:r>
        <w:rPr>
          <w:rFonts w:hint="eastAsia" w:hAnsi="宋体"/>
          <w:b/>
          <w:color w:val="000000" w:themeColor="text1"/>
        </w:rPr>
        <w:t>五、定标</w:t>
      </w:r>
      <w:bookmarkEnd w:id="131"/>
      <w:bookmarkEnd w:id="132"/>
      <w:bookmarkEnd w:id="133"/>
      <w:bookmarkEnd w:id="134"/>
      <w:bookmarkEnd w:id="135"/>
      <w:bookmarkEnd w:id="136"/>
      <w:bookmarkEnd w:id="137"/>
      <w:bookmarkEnd w:id="138"/>
    </w:p>
    <w:p>
      <w:pPr>
        <w:pStyle w:val="18"/>
        <w:snapToGrid w:val="0"/>
        <w:spacing w:beforeLines="0" w:afterLines="0" w:line="360" w:lineRule="auto"/>
        <w:ind w:firstLine="470" w:firstLineChars="196"/>
        <w:rPr>
          <w:rFonts w:hAnsi="宋体"/>
          <w:color w:val="000000" w:themeColor="text1"/>
        </w:rPr>
      </w:pPr>
      <w:r>
        <w:rPr>
          <w:rFonts w:hint="eastAsia" w:hAnsi="宋体"/>
          <w:bCs/>
          <w:color w:val="000000" w:themeColor="text1"/>
        </w:rPr>
        <w:t>（一）</w:t>
      </w:r>
      <w:r>
        <w:rPr>
          <w:rFonts w:hint="eastAsia" w:hAnsi="宋体"/>
          <w:bCs/>
          <w:color w:val="FF0000"/>
        </w:rPr>
        <w:t>确定中标单位。本项目由评标委员会推荐</w:t>
      </w:r>
      <w:r>
        <w:rPr>
          <w:rFonts w:hint="eastAsia" w:hAnsi="宋体"/>
          <w:color w:val="FF0000"/>
        </w:rPr>
        <w:t>综合得分</w:t>
      </w:r>
      <w:r>
        <w:rPr>
          <w:rFonts w:hint="eastAsia" w:hAnsi="宋体"/>
          <w:color w:val="FF0000"/>
          <w:lang w:val="en-US" w:eastAsia="zh-CN"/>
        </w:rPr>
        <w:t>前五名</w:t>
      </w:r>
      <w:r>
        <w:rPr>
          <w:rFonts w:hint="eastAsia" w:hAnsi="宋体"/>
          <w:color w:val="FF0000"/>
        </w:rPr>
        <w:t>的投标人成为本项目的中标候选人</w:t>
      </w:r>
      <w:r>
        <w:rPr>
          <w:rFonts w:hAnsi="宋体"/>
          <w:color w:val="000000" w:themeColor="text1"/>
        </w:rPr>
        <w:t>。</w:t>
      </w:r>
    </w:p>
    <w:p>
      <w:pPr>
        <w:snapToGrid w:val="0"/>
        <w:spacing w:line="360" w:lineRule="auto"/>
        <w:ind w:firstLine="480" w:firstLineChars="200"/>
        <w:rPr>
          <w:rFonts w:hAnsi="宋体"/>
          <w:b/>
          <w:color w:val="000000" w:themeColor="text1"/>
        </w:rPr>
      </w:pPr>
      <w:r>
        <w:rPr>
          <w:rFonts w:hint="eastAsia" w:ascii="宋体" w:hAnsi="宋体"/>
          <w:color w:val="000000" w:themeColor="text1"/>
          <w:sz w:val="24"/>
        </w:rPr>
        <w:t>（二）经招标人确认，中标公示结束后，签发书面</w:t>
      </w:r>
      <w:r>
        <w:rPr>
          <w:rFonts w:ascii="宋体" w:hAnsi="宋体"/>
          <w:color w:val="000000" w:themeColor="text1"/>
          <w:sz w:val="24"/>
        </w:rPr>
        <w:t>《</w:t>
      </w:r>
      <w:r>
        <w:rPr>
          <w:rFonts w:hint="eastAsia" w:ascii="宋体" w:hAnsi="宋体"/>
          <w:color w:val="000000" w:themeColor="text1"/>
          <w:sz w:val="24"/>
        </w:rPr>
        <w:t>中标</w:t>
      </w:r>
      <w:r>
        <w:rPr>
          <w:rFonts w:ascii="宋体" w:hAnsi="宋体"/>
          <w:color w:val="000000" w:themeColor="text1"/>
          <w:sz w:val="24"/>
        </w:rPr>
        <w:t>通知书》</w:t>
      </w:r>
      <w:r>
        <w:rPr>
          <w:rFonts w:hint="eastAsia" w:ascii="宋体" w:hAnsi="宋体"/>
          <w:color w:val="000000" w:themeColor="text1"/>
          <w:sz w:val="24"/>
        </w:rPr>
        <w:t>。</w:t>
      </w:r>
      <w:bookmarkStart w:id="139" w:name="_Toc259108328"/>
      <w:bookmarkStart w:id="140" w:name="_Toc249866771"/>
    </w:p>
    <w:p>
      <w:pPr>
        <w:spacing w:line="360" w:lineRule="auto"/>
        <w:rPr>
          <w:rFonts w:ascii="宋体" w:hAnsi="宋体" w:cs="Arial"/>
          <w:color w:val="000000" w:themeColor="text1"/>
          <w:sz w:val="24"/>
        </w:rPr>
      </w:pPr>
      <w:r>
        <w:rPr>
          <w:rFonts w:hint="eastAsia" w:ascii="宋体" w:hAnsi="宋体"/>
          <w:b/>
          <w:color w:val="000000" w:themeColor="text1"/>
          <w:sz w:val="24"/>
        </w:rPr>
        <w:t>六、合同授予</w:t>
      </w:r>
      <w:bookmarkEnd w:id="139"/>
      <w:bookmarkEnd w:id="140"/>
    </w:p>
    <w:p>
      <w:pPr>
        <w:snapToGrid w:val="0"/>
        <w:spacing w:line="360" w:lineRule="auto"/>
        <w:ind w:firstLine="360" w:firstLineChars="150"/>
        <w:rPr>
          <w:rFonts w:ascii="宋体" w:hAnsi="宋体"/>
          <w:color w:val="000000" w:themeColor="text1"/>
          <w:sz w:val="24"/>
        </w:rPr>
      </w:pPr>
      <w:r>
        <w:rPr>
          <w:rFonts w:ascii="宋体" w:hAnsi="宋体"/>
          <w:color w:val="000000" w:themeColor="text1"/>
          <w:sz w:val="24"/>
        </w:rPr>
        <w:t>1.招标人与中标人应当在《中标通知书》发出之日起按招标文件规定的时间内签订</w:t>
      </w:r>
      <w:r>
        <w:rPr>
          <w:rFonts w:hint="eastAsia" w:ascii="宋体" w:hAnsi="宋体"/>
          <w:color w:val="000000" w:themeColor="text1"/>
          <w:sz w:val="24"/>
        </w:rPr>
        <w:t>合同或协议</w:t>
      </w:r>
      <w:r>
        <w:rPr>
          <w:rFonts w:ascii="宋体" w:hAnsi="宋体"/>
          <w:color w:val="000000" w:themeColor="text1"/>
          <w:sz w:val="24"/>
        </w:rPr>
        <w:t>。如发现与招标结果和投标承诺内容不一致的，应予以纠正。</w:t>
      </w:r>
    </w:p>
    <w:p>
      <w:pPr>
        <w:snapToGrid w:val="0"/>
        <w:spacing w:line="360" w:lineRule="auto"/>
        <w:ind w:firstLine="360" w:firstLineChars="15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中标单位</w:t>
      </w:r>
      <w:r>
        <w:rPr>
          <w:rFonts w:ascii="宋体" w:hAnsi="宋体"/>
          <w:color w:val="000000" w:themeColor="text1"/>
          <w:sz w:val="24"/>
        </w:rPr>
        <w:t>拖延、拒签合同的</w:t>
      </w:r>
      <w:r>
        <w:rPr>
          <w:rFonts w:hint="eastAsia" w:ascii="宋体" w:hAnsi="宋体"/>
          <w:color w:val="000000" w:themeColor="text1"/>
          <w:sz w:val="24"/>
        </w:rPr>
        <w:t>，</w:t>
      </w:r>
      <w:r>
        <w:rPr>
          <w:rFonts w:ascii="宋体" w:hAnsi="宋体"/>
          <w:color w:val="000000" w:themeColor="text1"/>
          <w:sz w:val="24"/>
        </w:rPr>
        <w:t>将取消中标资格。</w:t>
      </w:r>
    </w:p>
    <w:p>
      <w:pPr>
        <w:snapToGrid w:val="0"/>
        <w:spacing w:line="360" w:lineRule="auto"/>
        <w:ind w:firstLine="360" w:firstLineChars="150"/>
        <w:rPr>
          <w:rFonts w:ascii="宋体" w:hAnsi="宋体"/>
          <w:color w:val="000000" w:themeColor="text1"/>
          <w:sz w:val="24"/>
        </w:rPr>
      </w:pPr>
    </w:p>
    <w:p>
      <w:pPr>
        <w:snapToGrid w:val="0"/>
        <w:spacing w:line="360" w:lineRule="auto"/>
        <w:ind w:firstLine="360" w:firstLineChars="150"/>
        <w:rPr>
          <w:rFonts w:ascii="宋体" w:hAnsi="宋体"/>
          <w:color w:val="000000" w:themeColor="text1"/>
          <w:sz w:val="24"/>
        </w:rPr>
      </w:pPr>
    </w:p>
    <w:p>
      <w:pPr>
        <w:snapToGrid w:val="0"/>
        <w:spacing w:line="360" w:lineRule="auto"/>
        <w:ind w:firstLine="360" w:firstLineChars="150"/>
        <w:rPr>
          <w:rFonts w:ascii="宋体" w:hAnsi="宋体"/>
          <w:color w:val="000000" w:themeColor="text1"/>
          <w:sz w:val="24"/>
        </w:rPr>
      </w:pPr>
    </w:p>
    <w:p>
      <w:pPr>
        <w:pStyle w:val="2"/>
      </w:pPr>
    </w:p>
    <w:tbl>
      <w:tblPr>
        <w:tblStyle w:val="32"/>
        <w:tblpPr w:leftFromText="180" w:rightFromText="180" w:vertAnchor="text" w:horzAnchor="page" w:tblpX="1991" w:tblpY="753"/>
        <w:tblOverlap w:val="never"/>
        <w:tblW w:w="8788" w:type="dxa"/>
        <w:tblInd w:w="0" w:type="dxa"/>
        <w:tblLayout w:type="fixed"/>
        <w:tblCellMar>
          <w:top w:w="0" w:type="dxa"/>
          <w:left w:w="0" w:type="dxa"/>
          <w:bottom w:w="0" w:type="dxa"/>
          <w:right w:w="0" w:type="dxa"/>
        </w:tblCellMar>
      </w:tblPr>
      <w:tblGrid>
        <w:gridCol w:w="240"/>
        <w:gridCol w:w="421"/>
        <w:gridCol w:w="240"/>
        <w:gridCol w:w="717"/>
        <w:gridCol w:w="6326"/>
        <w:gridCol w:w="844"/>
      </w:tblGrid>
      <w:tr>
        <w:tblPrEx>
          <w:tblCellMar>
            <w:top w:w="0" w:type="dxa"/>
            <w:left w:w="0" w:type="dxa"/>
            <w:bottom w:w="0" w:type="dxa"/>
            <w:right w:w="0" w:type="dxa"/>
          </w:tblCellMar>
        </w:tblPrEx>
        <w:trPr>
          <w:trHeight w:val="480" w:hRule="atLeast"/>
        </w:trPr>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评分</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项目</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明细指标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计分办法</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CellMar>
            <w:top w:w="0" w:type="dxa"/>
            <w:left w:w="0" w:type="dxa"/>
            <w:bottom w:w="0" w:type="dxa"/>
            <w:right w:w="0" w:type="dxa"/>
          </w:tblCellMar>
        </w:tblPrEx>
        <w:trPr>
          <w:trHeight w:val="1438" w:hRule="atLeast"/>
        </w:trPr>
        <w:tc>
          <w:tcPr>
            <w:tcW w:w="2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42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经营状况</w:t>
            </w:r>
            <w:r>
              <w:rPr>
                <w:rFonts w:hint="eastAsia" w:ascii="宋体" w:hAnsi="宋体" w:cs="宋体"/>
                <w:i w:val="0"/>
                <w:color w:val="000000"/>
                <w:kern w:val="0"/>
                <w:sz w:val="20"/>
                <w:szCs w:val="20"/>
                <w:u w:val="none"/>
                <w:lang w:val="en-US" w:eastAsia="zh-CN" w:bidi="ar"/>
              </w:rPr>
              <w:t>31</w:t>
            </w:r>
          </w:p>
        </w:tc>
        <w:tc>
          <w:tcPr>
            <w:tcW w:w="24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71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贷款总量指标</w:t>
            </w:r>
          </w:p>
        </w:tc>
        <w:tc>
          <w:tcPr>
            <w:tcW w:w="632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2025年12月底数据，反映投标银行对我市的信贷投放总体规模。指标计分办法：参与本次投标的银行按照金融监管局信贷规模监测表（本外币）“本期余额(各项贷款)”排序，贷款余额最大的投标银行为第1名，得满分，按名次每递减1名减0.</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分。无贷款余额的不得分。（该指标取数金融监管局报表表内余额表）</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2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贷款增量指标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2025年12月底数据，反映投标银行对我市的信贷投放当年度的净增加值。指标计分办法：参与本次投标的银行按照“期末金融监管局信贷规模监测表（本外币）”排序，本期贷款增加额最大的投标银行为第1名，得满分，按名次每递减1名减0.</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分。无新增贷款的不得分。（该指标取数金融监管局报表表内余额表）</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该指标取数金融监管局报表表内余额表。</w:t>
            </w:r>
          </w:p>
        </w:tc>
      </w:tr>
      <w:tr>
        <w:tblPrEx>
          <w:tblCellMar>
            <w:top w:w="0" w:type="dxa"/>
            <w:left w:w="0" w:type="dxa"/>
            <w:bottom w:w="0" w:type="dxa"/>
            <w:right w:w="0" w:type="dxa"/>
          </w:tblCellMar>
        </w:tblPrEx>
        <w:trPr>
          <w:trHeight w:val="148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贷款增幅指标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按2025年12月底数据。指标计分办法：参与本次投标的银行按照“金融监管局信贷规模监测表（本外币）”排序，本期贷款增幅最大的投标银行为第1名，得满分，按名次每递减1名减0.</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分。（该指标取数金融监管局报表表内余额表）</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该指标取数金融监管局报表表内余额表。</w:t>
            </w:r>
          </w:p>
        </w:tc>
      </w:tr>
      <w:tr>
        <w:tblPrEx>
          <w:tblCellMar>
            <w:top w:w="0" w:type="dxa"/>
            <w:left w:w="0" w:type="dxa"/>
            <w:bottom w:w="0" w:type="dxa"/>
            <w:right w:w="0" w:type="dxa"/>
          </w:tblCellMar>
        </w:tblPrEx>
        <w:trPr>
          <w:trHeight w:val="118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存贷比贡献度指标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2025年12月底数据，反映投标银行以自身存款规模为基础对我市的信贷贡献力度。指标计分办法：参与本次投标的银行按照“金融监管局信贷规模监测表（本外币）”排序，本期余额存贷比最大的投标银行为第1名，得满分，按名次每递减1名减0.</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分。（该指标取数金融监管局报表表内余额表。）</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该指标取数金融监管局报表表内余额表。</w:t>
            </w:r>
          </w:p>
        </w:tc>
      </w:tr>
      <w:tr>
        <w:tblPrEx>
          <w:tblCellMar>
            <w:top w:w="0" w:type="dxa"/>
            <w:left w:w="0" w:type="dxa"/>
            <w:bottom w:w="0" w:type="dxa"/>
            <w:right w:w="0" w:type="dxa"/>
          </w:tblCellMar>
        </w:tblPrEx>
        <w:trPr>
          <w:trHeight w:val="140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风险及内部控制</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投标人近两年内未发生风险案件，按安全保障方案、财务稳健保障与风险控制方案、银行内部控制方案、对账核算服务及分账核算服务的水平及方案是否完善进行综合评价：优</w:t>
            </w: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分，良</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分，一般</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分，未进行说明及提供证明材料的不得分。</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该指标取数金融监管局报表表内</w:t>
            </w:r>
          </w:p>
        </w:tc>
      </w:tr>
      <w:tr>
        <w:tblPrEx>
          <w:tblCellMar>
            <w:top w:w="0" w:type="dxa"/>
            <w:left w:w="0" w:type="dxa"/>
            <w:bottom w:w="0" w:type="dxa"/>
            <w:right w:w="0" w:type="dxa"/>
          </w:tblCellMar>
        </w:tblPrEx>
        <w:trPr>
          <w:trHeight w:val="1400" w:hRule="atLeast"/>
        </w:trPr>
        <w:tc>
          <w:tcPr>
            <w:tcW w:w="2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不良贷款率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参照金融监管部门2025年12月报表，0.5%（含）以下得3分，0.5%-1%（含）得2.5分，1-2%（含）得2分，2-3%（含）得1.5分，3-5%（含）得1分，5%以上不得分。</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该指标取数金融监管局</w:t>
            </w:r>
          </w:p>
        </w:tc>
      </w:tr>
      <w:tr>
        <w:tblPrEx>
          <w:tblCellMar>
            <w:top w:w="0" w:type="dxa"/>
            <w:left w:w="0" w:type="dxa"/>
            <w:bottom w:w="0" w:type="dxa"/>
            <w:right w:w="0" w:type="dxa"/>
          </w:tblCellMar>
        </w:tblPrEx>
        <w:trPr>
          <w:trHeight w:val="1380" w:hRule="atLeast"/>
        </w:trPr>
        <w:tc>
          <w:tcPr>
            <w:tcW w:w="2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42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服务水平1</w:t>
            </w:r>
            <w:r>
              <w:rPr>
                <w:rFonts w:hint="eastAsia" w:ascii="宋体" w:hAnsi="宋体" w:cs="宋体"/>
                <w:i w:val="0"/>
                <w:color w:val="000000"/>
                <w:kern w:val="0"/>
                <w:sz w:val="20"/>
                <w:szCs w:val="20"/>
                <w:u w:val="none"/>
                <w:lang w:val="en-US" w:eastAsia="zh-CN" w:bidi="ar"/>
              </w:rPr>
              <w:t>8</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服务建设考评指标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获得杭州市级同业服务考核奖励每项可加0.5分、省级及以上加1分（需提供获奖证明等证明材料，并获得评委会一致认可，例如中国银行业协会的文明规范服务“百佳”、“千佳”网点,中央文明办的全国精神文明单位等），指标已得满分或加分后已满分的则不再加分。</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以获得时间为准</w:t>
            </w:r>
          </w:p>
        </w:tc>
      </w:tr>
      <w:tr>
        <w:tblPrEx>
          <w:tblCellMar>
            <w:top w:w="0" w:type="dxa"/>
            <w:left w:w="0" w:type="dxa"/>
            <w:bottom w:w="0" w:type="dxa"/>
            <w:right w:w="0" w:type="dxa"/>
          </w:tblCellMar>
        </w:tblPrEx>
        <w:trPr>
          <w:trHeight w:val="166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业务收费优惠承诺情况</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根据提供的服务费用情况及优惠措施进行综合评分1-</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分（提供一般业务服务费用清单及优惠措施，包括但不限于账户管理费、网银转账、电汇转账、通存通兑、存款证明、保函、账户维护、回单卡、结算卡等手续费及工本费）。其中，银行自收的各项服务费用全免得满分，优惠措施不明显的酌情扣分。不提供清单及优惠措施的不得分。</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业务服务评价</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招标单位结合自身实际和以往合作情况，对投标银行进行评分，但评分分值需单位集体讨论决策。以往合作出现业务服务承诺未实现的，出现一次扣0.5分，扣完为止。</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4</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系统服务能力</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投标银行已具备浙江省自然资源智慧交易服务平台系统接入能力，得满分；否则，不得分。考核依据：投标银行所属省行或杭州市范围内兄弟银行，接入浙江省自然资源智慧交易服务平台系统并完成土地网上交易工作的相关证明。</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杭州市范围内提供相关接入证明</w:t>
            </w:r>
          </w:p>
        </w:tc>
      </w:tr>
      <w:tr>
        <w:tblPrEx>
          <w:tblCellMar>
            <w:top w:w="0" w:type="dxa"/>
            <w:left w:w="0" w:type="dxa"/>
            <w:bottom w:w="0" w:type="dxa"/>
            <w:right w:w="0" w:type="dxa"/>
          </w:tblCellMar>
        </w:tblPrEx>
        <w:trPr>
          <w:trHeight w:val="1080" w:hRule="atLeast"/>
        </w:trPr>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业务合作情况</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年与规资局业务合作情况，代理规资局业务办理。包括但不限于：开立土地补偿费结算户，代理收缴非税收入，其他政府性基金收入，代理收缴复垦保证金、征地补偿款，涉矿工程项目、补充耕地成本回收款等，共</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分。按资金量排名，资金量最高的第1名得满分，名次每递减1名减0.</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分。</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该数据及佐证材料由投标银行自行提供，并保证数据真实准确</w:t>
            </w:r>
          </w:p>
        </w:tc>
      </w:tr>
      <w:tr>
        <w:tblPrEx>
          <w:tblCellMar>
            <w:top w:w="0" w:type="dxa"/>
            <w:left w:w="0" w:type="dxa"/>
            <w:bottom w:w="0" w:type="dxa"/>
            <w:right w:w="0" w:type="dxa"/>
          </w:tblCellMar>
        </w:tblPrEx>
        <w:trPr>
          <w:trHeight w:val="1179" w:hRule="atLeast"/>
        </w:trPr>
        <w:tc>
          <w:tcPr>
            <w:tcW w:w="2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42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经济发展贡献3</w:t>
            </w:r>
            <w:r>
              <w:rPr>
                <w:rFonts w:hint="eastAsia" w:ascii="宋体" w:hAnsi="宋体" w:cs="宋体"/>
                <w:i w:val="0"/>
                <w:color w:val="000000"/>
                <w:kern w:val="0"/>
                <w:sz w:val="20"/>
                <w:szCs w:val="20"/>
                <w:u w:val="none"/>
                <w:lang w:val="en-US" w:eastAsia="zh-CN" w:bidi="ar"/>
              </w:rPr>
              <w:t>0</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两项收入贡献</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按上年12月底数据，反映投标银行“两项收入”完成情况。指标计分办法：参与本次投标的银行按照市金融办提供的“两项收入”考核名词排序，考核分值最高的投标银行为第一名，得满分，按名次每递减1名减0.</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分。</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4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优化金融服务</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按202</w:t>
            </w: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年度数据，反映投标银行对我市小微企业无还本续贷等相关金融服务。按上年度服务户数排名，开展户数最多的投标银行为第1名，得满分，按名次每递减1名减相应0.2分。未开展工作不得分。</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92"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宋体" w:hAnsi="宋体" w:eastAsia="宋体" w:cs="宋体"/>
                <w:i w:val="0"/>
                <w:color w:val="000000"/>
                <w:kern w:val="0"/>
                <w:sz w:val="20"/>
                <w:szCs w:val="20"/>
                <w:u w:val="none"/>
                <w:lang w:val="en-US" w:eastAsia="zh-CN" w:bidi="ar"/>
              </w:rPr>
            </w:pPr>
            <w:r>
              <w:rPr>
                <w:rStyle w:val="60"/>
                <w:rFonts w:hint="default"/>
              </w:rPr>
              <w:t>为房企提供按揭服务配套支持</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反映投标银行自202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年1月1日至202</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年12月底对建德本地房地产发展的支持力度，指标计分办法：参与本次投标的银行按照对本地房地产公司提供按揭服务配套支持的项目数量进行排序，数量最多的投标银行为第1名，得满分，按名次每递减1名减0.</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分。（提供相关房贷合作协议）</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该数据及佐证材料由投标银行自行提供，并保证数据真实准确</w:t>
            </w:r>
          </w:p>
        </w:tc>
      </w:tr>
      <w:tr>
        <w:tblPrEx>
          <w:tblCellMar>
            <w:top w:w="0" w:type="dxa"/>
            <w:left w:w="0" w:type="dxa"/>
            <w:bottom w:w="0" w:type="dxa"/>
            <w:right w:w="0" w:type="dxa"/>
          </w:tblCellMar>
        </w:tblPrEx>
        <w:trPr>
          <w:trHeight w:val="60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w:t>
            </w:r>
          </w:p>
        </w:tc>
        <w:tc>
          <w:tcPr>
            <w:tcW w:w="71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Style w:val="60"/>
                <w:rFonts w:hint="default"/>
              </w:rPr>
              <w:t>支持建德市土地储备业务发展提供信贷支持</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Style w:val="60"/>
                <w:rFonts w:hint="default"/>
              </w:rPr>
              <w:t>反映投标银行历年来对建德市土地储备业务发展的支持力度。参与本次投标的银行按照给建德市土地收购储备中心发放贷款总量排序，指标计分办法：参与本次投标的银行按照给本单位发放贷款总量排序，贷款总量最大的投标银行为第1名，得满分，按名次每递减1名减相应</w:t>
            </w:r>
            <w:r>
              <w:rPr>
                <w:rStyle w:val="60"/>
                <w:rFonts w:hint="eastAsia"/>
                <w:lang w:val="en-US" w:eastAsia="zh-CN"/>
              </w:rPr>
              <w:t>0.2</w:t>
            </w:r>
            <w:r>
              <w:rPr>
                <w:rStyle w:val="60"/>
                <w:rFonts w:hint="default"/>
              </w:rPr>
              <w:t>分，无发放不得分。</w:t>
            </w:r>
            <w:r>
              <w:rPr>
                <w:rStyle w:val="61"/>
                <w:rFonts w:hint="default"/>
              </w:rPr>
              <w:t>（提供相关与建德市土地储备中心信贷合作证明）</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该数据及佐证材料由投标银行自行提供，并保证数据真实准确</w:t>
            </w:r>
          </w:p>
        </w:tc>
      </w:tr>
      <w:tr>
        <w:tblPrEx>
          <w:tblCellMar>
            <w:top w:w="0" w:type="dxa"/>
            <w:left w:w="0" w:type="dxa"/>
            <w:bottom w:w="0" w:type="dxa"/>
            <w:right w:w="0" w:type="dxa"/>
          </w:tblCellMar>
        </w:tblPrEx>
        <w:trPr>
          <w:trHeight w:val="60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color w:val="000000"/>
                <w:kern w:val="0"/>
                <w:sz w:val="20"/>
                <w:szCs w:val="20"/>
              </w:rPr>
              <w:t>3</w:t>
            </w:r>
          </w:p>
        </w:tc>
        <w:tc>
          <w:tcPr>
            <w:tcW w:w="7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开展政策性融资担保贷款业务</w:t>
            </w:r>
          </w:p>
        </w:tc>
        <w:tc>
          <w:tcPr>
            <w:tcW w:w="632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与担保机构签订政策性融资担保贷款业务协议且实际已经开展政策性担保业务的得3分；否则，不得分。</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2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color w:val="000000"/>
                <w:kern w:val="0"/>
                <w:sz w:val="20"/>
                <w:szCs w:val="20"/>
              </w:rPr>
              <w:t>3</w:t>
            </w:r>
          </w:p>
        </w:tc>
        <w:tc>
          <w:tcPr>
            <w:tcW w:w="7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Style w:val="60"/>
                <w:rFonts w:hint="default"/>
              </w:rPr>
              <w:t>税收贡献</w:t>
            </w:r>
          </w:p>
        </w:tc>
        <w:tc>
          <w:tcPr>
            <w:tcW w:w="632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按上年缴纳税收排名（3分）计算得分。第1名得满分，按名次每递减1名减0.2分，最低减至1分（以税务证明为准）（注：不含社保缴费）</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0" w:hRule="atLeast"/>
        </w:trPr>
        <w:tc>
          <w:tcPr>
            <w:tcW w:w="2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42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综合收益水平</w:t>
            </w:r>
            <w:r>
              <w:rPr>
                <w:rFonts w:hint="eastAsia" w:ascii="宋体" w:hAnsi="宋体" w:cs="宋体"/>
                <w:i w:val="0"/>
                <w:color w:val="000000"/>
                <w:kern w:val="0"/>
                <w:sz w:val="20"/>
                <w:szCs w:val="20"/>
                <w:u w:val="none"/>
                <w:lang w:val="en-US" w:eastAsia="zh-CN" w:bidi="ar"/>
              </w:rPr>
              <w:t>21</w:t>
            </w: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FF0000"/>
                <w:sz w:val="20"/>
                <w:szCs w:val="20"/>
                <w:u w:val="none"/>
                <w:lang w:val="en-US" w:eastAsia="zh-CN"/>
              </w:rPr>
            </w:pPr>
            <w:r>
              <w:rPr>
                <w:rFonts w:hint="eastAsia" w:ascii="宋体" w:hAnsi="宋体" w:cs="宋体"/>
                <w:i w:val="0"/>
                <w:color w:val="FF0000"/>
                <w:sz w:val="20"/>
                <w:szCs w:val="20"/>
                <w:u w:val="none"/>
                <w:lang w:val="en-US" w:eastAsia="zh-CN"/>
              </w:rPr>
              <w:t>7</w:t>
            </w:r>
          </w:p>
        </w:tc>
        <w:tc>
          <w:tcPr>
            <w:tcW w:w="71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FF0000"/>
                <w:sz w:val="20"/>
                <w:szCs w:val="20"/>
                <w:u w:val="none"/>
              </w:rPr>
            </w:pPr>
            <w:r>
              <w:rPr>
                <w:rStyle w:val="60"/>
                <w:rFonts w:hint="default"/>
                <w:color w:val="FF0000"/>
              </w:rPr>
              <w:t>活期利率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Style w:val="60"/>
                <w:rFonts w:hint="default"/>
              </w:rPr>
              <w:t>活期账户利率：投标银行活期存款利率最高者得满分，其他投标银行按与最高利率占比得分，计算公式为：投标银行存款利率/最高利率*分值</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0" w:hRule="atLeast"/>
        </w:trPr>
        <w:tc>
          <w:tcPr>
            <w:tcW w:w="24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FF0000"/>
                <w:sz w:val="20"/>
                <w:szCs w:val="20"/>
                <w:u w:val="none"/>
                <w:lang w:val="en-US" w:eastAsia="zh-CN"/>
              </w:rPr>
            </w:pPr>
            <w:r>
              <w:rPr>
                <w:rFonts w:hint="eastAsia" w:ascii="宋体" w:hAnsi="宋体" w:cs="宋体"/>
                <w:i w:val="0"/>
                <w:color w:val="FF0000"/>
                <w:sz w:val="20"/>
                <w:szCs w:val="20"/>
                <w:u w:val="none"/>
                <w:lang w:val="en-US" w:eastAsia="zh-CN"/>
              </w:rPr>
              <w:t>7</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FF0000"/>
                <w:sz w:val="20"/>
                <w:szCs w:val="20"/>
                <w:u w:val="none"/>
              </w:rPr>
            </w:pPr>
            <w:r>
              <w:rPr>
                <w:rStyle w:val="60"/>
                <w:rFonts w:hint="default"/>
                <w:color w:val="FF0000"/>
              </w:rPr>
              <w:t>协定利率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协定存款利率：投标银行协定存款利率最高者得满分，其他投标银行按与最高利率占比得分，计算公式为：投标银行存款利率/最高利率*分值</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0" w:hRule="atLeast"/>
        </w:trPr>
        <w:tc>
          <w:tcPr>
            <w:tcW w:w="2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i w:val="0"/>
                <w:color w:val="FF0000"/>
                <w:kern w:val="0"/>
                <w:sz w:val="20"/>
                <w:szCs w:val="20"/>
                <w:u w:val="none"/>
                <w:lang w:val="en-US" w:eastAsia="zh-CN" w:bidi="ar"/>
              </w:rPr>
            </w:pPr>
            <w:r>
              <w:rPr>
                <w:rFonts w:hint="eastAsia" w:ascii="宋体" w:hAnsi="宋体" w:cs="宋体"/>
                <w:i w:val="0"/>
                <w:color w:val="FF0000"/>
                <w:kern w:val="0"/>
                <w:sz w:val="20"/>
                <w:szCs w:val="20"/>
                <w:u w:val="none"/>
                <w:lang w:val="en-US" w:eastAsia="zh-CN" w:bidi="ar"/>
              </w:rPr>
              <w:t>7</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FF0000"/>
                <w:kern w:val="0"/>
                <w:sz w:val="20"/>
                <w:szCs w:val="20"/>
                <w:u w:val="none"/>
                <w:lang w:val="en-US" w:eastAsia="zh-CN" w:bidi="ar"/>
              </w:rPr>
            </w:pPr>
            <w:r>
              <w:rPr>
                <w:rFonts w:hint="eastAsia" w:ascii="宋体" w:hAnsi="宋体" w:cs="宋体"/>
                <w:color w:val="FF0000"/>
                <w:kern w:val="0"/>
                <w:sz w:val="20"/>
                <w:szCs w:val="20"/>
              </w:rPr>
              <w:t>定期利率</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定期存款利率：投标银行一年期定期存款利率最高者得满分，其他投标银行按与最高利率占比得分，计算公式为：投标银行存款利率/最高利率*分值</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878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说明：上半年招投标以上年度各金融机构指标完成情况为评分依据；下半年招投标，除银行监管评价、服务建设考评指标、税收贡献以上年度指标为依据外，其他指标以当年半年度指标完成情况为依据。</w:t>
            </w:r>
          </w:p>
        </w:tc>
      </w:tr>
    </w:tbl>
    <w:p>
      <w:pPr>
        <w:widowControl/>
        <w:numPr>
          <w:ilvl w:val="0"/>
          <w:numId w:val="4"/>
        </w:numPr>
        <w:spacing w:line="360" w:lineRule="auto"/>
        <w:ind w:firstLine="482" w:firstLineChars="200"/>
        <w:jc w:val="left"/>
        <w:rPr>
          <w:rFonts w:hint="eastAsia" w:ascii="宋体" w:hAnsi="宋体" w:cs="宋体"/>
          <w:b/>
          <w:bCs/>
          <w:sz w:val="24"/>
          <w:u w:val="single"/>
        </w:rPr>
      </w:pPr>
      <w:r>
        <w:rPr>
          <w:rFonts w:hint="eastAsia" w:ascii="宋体" w:hAnsi="宋体" w:cs="宋体"/>
          <w:b/>
          <w:bCs/>
          <w:sz w:val="24"/>
          <w:u w:val="single"/>
        </w:rPr>
        <w:t>除招标文件中明确由相关部门提供数据的情形外，其他相关数据及证明材料均须由投标人提供，如投标人未能提供真实有效数据的，则该项评分不得分。</w:t>
      </w:r>
    </w:p>
    <w:p>
      <w:pPr>
        <w:spacing w:line="600" w:lineRule="exact"/>
        <w:jc w:val="both"/>
        <w:rPr>
          <w:rFonts w:ascii="宋体" w:hAnsi="宋体" w:cs="宋体"/>
          <w:b/>
          <w:color w:val="000000" w:themeColor="text1"/>
          <w:kern w:val="0"/>
          <w:sz w:val="28"/>
          <w:szCs w:val="28"/>
        </w:rPr>
        <w:sectPr>
          <w:pgSz w:w="11906" w:h="16838"/>
          <w:pgMar w:top="1440" w:right="1469" w:bottom="1440" w:left="1797" w:header="851" w:footer="992" w:gutter="0"/>
          <w:cols w:space="720" w:num="1"/>
          <w:docGrid w:linePitch="312" w:charSpace="0"/>
        </w:sectPr>
      </w:pPr>
      <w:bookmarkStart w:id="141" w:name="_Toc454551084"/>
      <w:bookmarkStart w:id="142" w:name="_Toc444069281"/>
    </w:p>
    <w:p>
      <w:pPr>
        <w:spacing w:line="600" w:lineRule="exact"/>
        <w:jc w:val="center"/>
        <w:rPr>
          <w:rFonts w:hint="eastAsia" w:ascii="宋体" w:hAnsi="宋体" w:cs="宋体"/>
          <w:b/>
          <w:color w:val="000000" w:themeColor="text1"/>
          <w:kern w:val="0"/>
          <w:sz w:val="28"/>
          <w:szCs w:val="28"/>
        </w:rPr>
      </w:pPr>
      <w:r>
        <w:rPr>
          <w:rFonts w:hint="eastAsia" w:ascii="宋体" w:hAnsi="宋体" w:cs="宋体"/>
          <w:b/>
          <w:color w:val="000000" w:themeColor="text1"/>
          <w:kern w:val="0"/>
          <w:sz w:val="28"/>
          <w:szCs w:val="28"/>
        </w:rPr>
        <w:t>第五章</w:t>
      </w:r>
    </w:p>
    <w:p>
      <w:pPr>
        <w:spacing w:line="600" w:lineRule="exact"/>
        <w:jc w:val="center"/>
        <w:rPr>
          <w:rFonts w:ascii="宋体" w:hAnsi="宋体" w:cs="宋体"/>
          <w:color w:val="000000" w:themeColor="text1"/>
          <w:kern w:val="0"/>
          <w:sz w:val="28"/>
          <w:szCs w:val="28"/>
        </w:rPr>
      </w:pPr>
      <w:r>
        <w:rPr>
          <w:rFonts w:hint="eastAsia" w:ascii="宋体" w:hAnsi="宋体" w:cs="宋体"/>
          <w:color w:val="000000" w:themeColor="text1"/>
          <w:kern w:val="0"/>
          <w:sz w:val="28"/>
          <w:szCs w:val="28"/>
          <w:lang w:eastAsia="zh-CN"/>
        </w:rPr>
        <w:t>建德市规划和自然资源局土地出让交易保证金账户开户银行项目</w:t>
      </w:r>
      <w:r>
        <w:rPr>
          <w:rFonts w:hint="eastAsia" w:ascii="宋体" w:hAnsi="宋体" w:cs="宋体"/>
          <w:color w:val="000000" w:themeColor="text1"/>
          <w:kern w:val="0"/>
          <w:sz w:val="28"/>
          <w:szCs w:val="28"/>
        </w:rPr>
        <w:t>协议</w:t>
      </w:r>
    </w:p>
    <w:bookmarkEnd w:id="141"/>
    <w:bookmarkEnd w:id="142"/>
    <w:p>
      <w:pPr>
        <w:pStyle w:val="5"/>
        <w:ind w:firstLine="0"/>
        <w:jc w:val="center"/>
        <w:rPr>
          <w:rFonts w:ascii="宋体" w:hAnsi="宋体"/>
          <w:b w:val="0"/>
          <w:bCs w:val="0"/>
          <w:i w:val="0"/>
          <w:iCs w:val="0"/>
          <w:color w:val="000000" w:themeColor="text1"/>
          <w:sz w:val="32"/>
          <w:szCs w:val="32"/>
        </w:rPr>
      </w:pPr>
      <w:bookmarkStart w:id="143" w:name="_Toc454551085"/>
      <w:bookmarkStart w:id="144" w:name="_Toc444597108"/>
      <w:bookmarkStart w:id="145" w:name="_Toc444069282"/>
      <w:r>
        <w:rPr>
          <w:rFonts w:hint="eastAsia" w:ascii="宋体" w:hAnsi="宋体"/>
          <w:b w:val="0"/>
          <w:bCs w:val="0"/>
          <w:i w:val="0"/>
          <w:iCs w:val="0"/>
          <w:color w:val="000000" w:themeColor="text1"/>
          <w:sz w:val="32"/>
          <w:szCs w:val="32"/>
        </w:rPr>
        <w:t>（供参考）</w:t>
      </w:r>
      <w:bookmarkEnd w:id="143"/>
      <w:bookmarkEnd w:id="144"/>
      <w:bookmarkEnd w:id="145"/>
    </w:p>
    <w:p>
      <w:pPr>
        <w:spacing w:line="360" w:lineRule="auto"/>
        <w:ind w:firstLine="480" w:firstLineChars="200"/>
        <w:rPr>
          <w:rFonts w:ascii="宋体" w:hAnsi="宋体" w:cs="宋体"/>
          <w:color w:val="000000" w:themeColor="text1"/>
          <w:kern w:val="0"/>
          <w:sz w:val="24"/>
        </w:rPr>
      </w:pPr>
    </w:p>
    <w:p>
      <w:pPr>
        <w:spacing w:line="360" w:lineRule="auto"/>
        <w:ind w:firstLine="480" w:firstLineChars="200"/>
        <w:rPr>
          <w:rFonts w:ascii="宋体"/>
          <w:color w:val="000000" w:themeColor="text1"/>
          <w:kern w:val="0"/>
          <w:sz w:val="24"/>
        </w:rPr>
      </w:pPr>
      <w:bookmarkStart w:id="146" w:name="_Toc454551086"/>
      <w:r>
        <w:rPr>
          <w:rFonts w:hint="eastAsia" w:ascii="宋体" w:hAnsi="宋体" w:cs="宋体"/>
          <w:color w:val="000000" w:themeColor="text1"/>
          <w:kern w:val="0"/>
          <w:sz w:val="24"/>
        </w:rPr>
        <w:t>委托方（甲方）：</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代理方（乙方）：</w:t>
      </w:r>
    </w:p>
    <w:p>
      <w:pPr>
        <w:spacing w:line="360" w:lineRule="auto"/>
        <w:ind w:firstLine="480" w:firstLineChars="200"/>
        <w:rPr>
          <w:rFonts w:ascii="宋体"/>
          <w:color w:val="000000" w:themeColor="text1"/>
          <w:kern w:val="0"/>
          <w:sz w:val="24"/>
        </w:rPr>
      </w:pPr>
    </w:p>
    <w:p>
      <w:pPr>
        <w:spacing w:line="360" w:lineRule="auto"/>
        <w:ind w:firstLine="480" w:firstLineChars="200"/>
        <w:rPr>
          <w:rFonts w:ascii="宋体"/>
          <w:color w:val="000000" w:themeColor="text1"/>
          <w:kern w:val="0"/>
          <w:sz w:val="24"/>
        </w:rPr>
      </w:pPr>
      <w:r>
        <w:rPr>
          <w:rFonts w:hint="eastAsia" w:ascii="宋体" w:hAnsi="宋体" w:eastAsia="宋体" w:cs="宋体"/>
          <w:bCs/>
          <w:sz w:val="24"/>
          <w:szCs w:val="24"/>
        </w:rPr>
        <w:t>根据《中华人民共和国</w:t>
      </w:r>
      <w:r>
        <w:rPr>
          <w:rFonts w:hint="eastAsia" w:ascii="宋体" w:hAnsi="宋体" w:eastAsia="宋体" w:cs="宋体"/>
          <w:bCs/>
          <w:sz w:val="24"/>
          <w:szCs w:val="24"/>
          <w:lang w:val="en-US" w:eastAsia="zh-CN"/>
        </w:rPr>
        <w:t>民法典</w:t>
      </w:r>
      <w:r>
        <w:rPr>
          <w:rFonts w:hint="eastAsia" w:ascii="宋体" w:hAnsi="宋体" w:eastAsia="宋体" w:cs="宋体"/>
          <w:bCs/>
          <w:sz w:val="24"/>
          <w:szCs w:val="24"/>
        </w:rPr>
        <w:t>》、《中共浙江省委办公厅、浙江省人民政府办公厅印发&lt;关于防止领导干部在公款存放方面发生利益冲突和利益输送的办法&gt;的通知》(浙委办发[2015]8 号)</w:t>
      </w:r>
      <w:r>
        <w:rPr>
          <w:rFonts w:hint="eastAsia" w:ascii="宋体" w:hAnsi="宋体" w:eastAsia="宋体" w:cs="宋体"/>
          <w:bCs/>
          <w:sz w:val="24"/>
          <w:szCs w:val="24"/>
          <w:lang w:eastAsia="zh-CN"/>
        </w:rPr>
        <w:t>，</w:t>
      </w:r>
      <w:r>
        <w:rPr>
          <w:rFonts w:hint="eastAsia" w:ascii="宋体" w:hAnsi="宋体" w:eastAsia="宋体" w:cs="宋体"/>
          <w:bCs/>
          <w:sz w:val="24"/>
          <w:szCs w:val="24"/>
        </w:rPr>
        <w:t>《建德市财政局关于印发建德市市级行政事业单位公款竞争性存放管理办法的通知》有关规定</w:t>
      </w:r>
      <w:r>
        <w:rPr>
          <w:rFonts w:hint="eastAsia" w:ascii="宋体" w:hAnsi="宋体" w:cs="宋体"/>
          <w:color w:val="000000" w:themeColor="text1"/>
          <w:kern w:val="0"/>
          <w:sz w:val="24"/>
        </w:rPr>
        <w:t>，甲方按法定程序对</w:t>
      </w:r>
      <w:r>
        <w:rPr>
          <w:rFonts w:hint="eastAsia" w:ascii="宋体" w:hAnsi="宋体" w:cs="宋体"/>
          <w:color w:val="000000" w:themeColor="text1"/>
          <w:kern w:val="0"/>
          <w:sz w:val="24"/>
          <w:u w:val="single"/>
          <w:lang w:eastAsia="zh-CN"/>
        </w:rPr>
        <w:t>建德市规划和自然资源局土地出让交易保证金账户开户银行项目</w:t>
      </w:r>
      <w:r>
        <w:rPr>
          <w:rFonts w:hint="eastAsia" w:ascii="宋体" w:hAnsi="宋体" w:cs="宋体"/>
          <w:color w:val="000000" w:themeColor="text1"/>
          <w:kern w:val="0"/>
          <w:sz w:val="24"/>
        </w:rPr>
        <w:t>进行了公开招标，确定乙方为资金存放的中标银行，甲乙双方按照招标文件要求，签订如下协议：</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第一条委托代理事项</w:t>
      </w:r>
    </w:p>
    <w:p>
      <w:pPr>
        <w:numPr>
          <w:ilvl w:val="0"/>
          <w:numId w:val="5"/>
        </w:numPr>
        <w:spacing w:line="360" w:lineRule="auto"/>
        <w:ind w:left="0" w:firstLine="426"/>
        <w:rPr>
          <w:rFonts w:ascii="宋体"/>
          <w:color w:val="000000" w:themeColor="text1"/>
          <w:kern w:val="0"/>
          <w:sz w:val="24"/>
        </w:rPr>
      </w:pPr>
      <w:r>
        <w:rPr>
          <w:rFonts w:hint="eastAsia" w:ascii="宋体" w:hAnsi="宋体" w:cs="宋体"/>
          <w:color w:val="000000" w:themeColor="text1"/>
          <w:kern w:val="0"/>
          <w:sz w:val="24"/>
        </w:rPr>
        <w:t>甲方委托乙方为甲方的资金存放银行</w:t>
      </w:r>
      <w:r>
        <w:rPr>
          <w:rFonts w:hint="eastAsia" w:ascii="宋体" w:hAnsi="宋体" w:cs="宋体"/>
          <w:color w:val="000000" w:themeColor="text1"/>
          <w:sz w:val="24"/>
        </w:rPr>
        <w:t>并根据相关法律法规为甲方提供结算、监管、财务顾问等综合金融服务。</w:t>
      </w:r>
    </w:p>
    <w:p>
      <w:pPr>
        <w:numPr>
          <w:ilvl w:val="0"/>
          <w:numId w:val="5"/>
        </w:numPr>
        <w:spacing w:line="360" w:lineRule="auto"/>
        <w:ind w:left="0" w:firstLine="480" w:firstLineChars="200"/>
        <w:rPr>
          <w:rFonts w:ascii="宋体"/>
          <w:color w:val="000000" w:themeColor="text1"/>
          <w:kern w:val="0"/>
          <w:sz w:val="24"/>
        </w:rPr>
      </w:pPr>
      <w:r>
        <w:rPr>
          <w:rFonts w:hint="eastAsia" w:ascii="宋体" w:hAnsi="宋体" w:cs="宋体"/>
          <w:color w:val="000000" w:themeColor="text1"/>
          <w:kern w:val="0"/>
          <w:sz w:val="24"/>
        </w:rPr>
        <w:t>乙方向甲方反馈账户收付信息，并提供实时查询、回单送达服务。</w:t>
      </w:r>
    </w:p>
    <w:p>
      <w:pPr>
        <w:numPr>
          <w:ilvl w:val="0"/>
          <w:numId w:val="5"/>
        </w:numPr>
        <w:spacing w:line="360" w:lineRule="auto"/>
        <w:ind w:left="0" w:firstLine="480" w:firstLineChars="200"/>
        <w:rPr>
          <w:rFonts w:ascii="宋体"/>
          <w:color w:val="000000" w:themeColor="text1"/>
          <w:kern w:val="0"/>
          <w:sz w:val="24"/>
        </w:rPr>
      </w:pPr>
      <w:r>
        <w:rPr>
          <w:rFonts w:hint="eastAsia" w:ascii="宋体" w:hAnsi="宋体" w:cs="宋体"/>
          <w:color w:val="000000" w:themeColor="text1"/>
          <w:kern w:val="0"/>
          <w:sz w:val="24"/>
        </w:rPr>
        <w:t>本协议未尽事宜，乙方应按照资金存放账户开设项目招标文件及乙方投标文件履行相应职责和义务。</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第二条甲方的职责和义务</w:t>
      </w:r>
    </w:p>
    <w:p>
      <w:pPr>
        <w:numPr>
          <w:ilvl w:val="0"/>
          <w:numId w:val="6"/>
        </w:numPr>
        <w:spacing w:line="360" w:lineRule="auto"/>
        <w:ind w:left="0" w:firstLine="480" w:firstLineChars="200"/>
        <w:rPr>
          <w:rFonts w:ascii="宋体"/>
          <w:color w:val="000000" w:themeColor="text1"/>
          <w:kern w:val="0"/>
          <w:sz w:val="24"/>
        </w:rPr>
      </w:pPr>
      <w:r>
        <w:rPr>
          <w:rFonts w:hint="eastAsia" w:ascii="宋体" w:hAnsi="宋体" w:cs="宋体"/>
          <w:color w:val="000000" w:themeColor="text1"/>
          <w:kern w:val="0"/>
          <w:sz w:val="24"/>
        </w:rPr>
        <w:t>有权对乙方代理的账户的收付业务进行检查、指导，提出改进意见。</w:t>
      </w:r>
    </w:p>
    <w:p>
      <w:pPr>
        <w:numPr>
          <w:ilvl w:val="0"/>
          <w:numId w:val="6"/>
        </w:numPr>
        <w:spacing w:line="360" w:lineRule="auto"/>
        <w:ind w:left="0" w:firstLine="480" w:firstLineChars="200"/>
        <w:rPr>
          <w:rFonts w:ascii="宋体"/>
          <w:color w:val="000000" w:themeColor="text1"/>
          <w:kern w:val="0"/>
          <w:sz w:val="24"/>
        </w:rPr>
      </w:pPr>
      <w:r>
        <w:rPr>
          <w:rFonts w:hint="eastAsia" w:ascii="宋体" w:hAnsi="宋体" w:cs="宋体"/>
          <w:color w:val="000000" w:themeColor="text1"/>
          <w:kern w:val="0"/>
          <w:sz w:val="24"/>
        </w:rPr>
        <w:t>妥善保管乙方提供的支付清单及相关文件。</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第三条乙方的职责和义务</w:t>
      </w:r>
    </w:p>
    <w:p>
      <w:pPr>
        <w:numPr>
          <w:ilvl w:val="0"/>
          <w:numId w:val="7"/>
        </w:numPr>
        <w:spacing w:line="360" w:lineRule="auto"/>
        <w:ind w:left="0" w:firstLine="480" w:firstLineChars="200"/>
        <w:rPr>
          <w:rFonts w:ascii="宋体"/>
          <w:color w:val="000000" w:themeColor="text1"/>
          <w:kern w:val="0"/>
          <w:sz w:val="24"/>
        </w:rPr>
      </w:pPr>
      <w:r>
        <w:rPr>
          <w:rFonts w:hint="eastAsia" w:ascii="宋体" w:hAnsi="宋体" w:cs="宋体"/>
          <w:color w:val="000000" w:themeColor="text1"/>
          <w:kern w:val="0"/>
          <w:sz w:val="24"/>
        </w:rPr>
        <w:t>根据甲方要求及时办理账户的开立、变更和撤销事宜。</w:t>
      </w:r>
    </w:p>
    <w:p>
      <w:pPr>
        <w:numPr>
          <w:ilvl w:val="0"/>
          <w:numId w:val="7"/>
        </w:numPr>
        <w:spacing w:line="360" w:lineRule="auto"/>
        <w:ind w:left="0" w:firstLine="480" w:firstLineChars="200"/>
        <w:rPr>
          <w:rFonts w:ascii="宋体"/>
          <w:color w:val="000000" w:themeColor="text1"/>
          <w:kern w:val="0"/>
          <w:sz w:val="24"/>
        </w:rPr>
      </w:pPr>
      <w:r>
        <w:rPr>
          <w:rFonts w:hint="eastAsia" w:ascii="宋体" w:hAnsi="宋体" w:cs="宋体"/>
          <w:color w:val="000000" w:themeColor="text1"/>
          <w:kern w:val="0"/>
          <w:sz w:val="24"/>
        </w:rPr>
        <w:t>严格按照甲方的支付要求，及时、安全、准确地办理财政支付业务，不压票。</w:t>
      </w:r>
    </w:p>
    <w:p>
      <w:pPr>
        <w:numPr>
          <w:ilvl w:val="0"/>
          <w:numId w:val="7"/>
        </w:numPr>
        <w:spacing w:line="360" w:lineRule="auto"/>
        <w:ind w:left="0" w:firstLine="480" w:firstLineChars="200"/>
        <w:rPr>
          <w:rFonts w:ascii="宋体"/>
          <w:color w:val="000000" w:themeColor="text1"/>
          <w:kern w:val="0"/>
          <w:sz w:val="24"/>
        </w:rPr>
      </w:pPr>
      <w:r>
        <w:rPr>
          <w:rFonts w:hint="eastAsia" w:ascii="宋体" w:hAnsi="宋体" w:cs="宋体"/>
          <w:color w:val="000000" w:themeColor="text1"/>
          <w:kern w:val="0"/>
          <w:sz w:val="24"/>
        </w:rPr>
        <w:t>乙方向甲方支付的合同存款利率按以下标准执行：</w:t>
      </w:r>
    </w:p>
    <w:p>
      <w:pPr>
        <w:spacing w:line="360" w:lineRule="auto"/>
        <w:ind w:firstLine="480" w:firstLineChars="200"/>
        <w:rPr>
          <w:rFonts w:ascii="宋体"/>
          <w:color w:val="000000" w:themeColor="text1"/>
          <w:kern w:val="0"/>
          <w:sz w:val="24"/>
        </w:rPr>
      </w:pPr>
      <w:r>
        <w:rPr>
          <w:rFonts w:ascii="宋体" w:hAnsi="宋体" w:cs="宋体"/>
          <w:color w:val="000000" w:themeColor="text1"/>
          <w:kern w:val="0"/>
          <w:sz w:val="24"/>
        </w:rPr>
        <w:t>1</w:t>
      </w:r>
      <w:r>
        <w:rPr>
          <w:rFonts w:hint="eastAsia" w:ascii="宋体" w:hAnsi="宋体" w:cs="宋体"/>
          <w:color w:val="000000" w:themeColor="text1"/>
          <w:kern w:val="0"/>
          <w:sz w:val="24"/>
        </w:rPr>
        <w:t>、活期存款计息利率为；</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2、一年期</w:t>
      </w:r>
      <w:r>
        <w:rPr>
          <w:rFonts w:hint="eastAsia" w:ascii="宋体" w:hAnsi="宋体" w:cs="宋体"/>
          <w:color w:val="000000" w:themeColor="text1"/>
          <w:sz w:val="24"/>
        </w:rPr>
        <w:t>定期存款利率</w:t>
      </w:r>
      <w:r>
        <w:rPr>
          <w:rFonts w:hint="eastAsia" w:ascii="宋体" w:hAnsi="宋体" w:cs="宋体"/>
          <w:color w:val="000000" w:themeColor="text1"/>
          <w:kern w:val="0"/>
          <w:sz w:val="24"/>
        </w:rPr>
        <w:t>为；</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3、利率加点应符合国家有关利率管理规定，同时参考当地金融机构市场利率定价自律机制。</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（四）具有先进资金汇划清算系统，适应宁波市银行系统实时清算要求。</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（五）在中国人民银行有充足的备付金头寸，具有较强的风险控制能力，能够保证账户资金的支付。</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（六）为甲方及相关预算单位提供优质代理服务。</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（七）妥善保管甲方支付凭证及相关会计凭证，按时向甲方报送报表及对账，对甲方提供的各种信息、凭证等承担保密责任。</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（八）甲、乙双方其他约定：</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第四条其他约定</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乙方出现以下情形，甲方可变更开户银行或提前收回定期存款，提前收回定期存款的利率计算方式按照相关银行定期存款业务的常规规定办理。</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（一）出现资金安全事故和重大违法违规情况或财务恶化；</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（二）监管评级降低，甲方或监管部门认为存在较大运营风险；</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（三）乙方通过严重不正当投标行为取得中标资格；</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（四）没有按照本协议及招标文件承诺履行相应的责任和义务；</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（五）不能及时将到期存款本息足额缴入甲方；</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（六）其他妨害甲方资金安全的行为。</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第五条合同期限</w:t>
      </w:r>
    </w:p>
    <w:p>
      <w:pPr>
        <w:spacing w:line="360" w:lineRule="auto"/>
        <w:ind w:firstLine="480" w:firstLineChars="200"/>
        <w:rPr>
          <w:rFonts w:ascii="宋体"/>
          <w:color w:val="FF0000"/>
          <w:kern w:val="0"/>
          <w:sz w:val="24"/>
        </w:rPr>
      </w:pPr>
      <w:r>
        <w:rPr>
          <w:rFonts w:hint="eastAsia" w:ascii="宋体" w:hAnsi="宋体" w:cs="宋体"/>
          <w:color w:val="FF0000"/>
          <w:sz w:val="24"/>
        </w:rPr>
        <w:t>本项目</w:t>
      </w:r>
      <w:r>
        <w:rPr>
          <w:rFonts w:hint="eastAsia" w:ascii="宋体" w:hAnsi="宋体" w:cs="宋体"/>
          <w:color w:val="FF0000"/>
          <w:sz w:val="24"/>
          <w:lang w:val="en-US" w:eastAsia="zh-CN"/>
        </w:rPr>
        <w:t>开户</w:t>
      </w:r>
      <w:r>
        <w:rPr>
          <w:rFonts w:hint="eastAsia" w:ascii="宋体" w:hAnsi="宋体" w:cs="宋体"/>
          <w:color w:val="FF0000"/>
          <w:sz w:val="24"/>
        </w:rPr>
        <w:t>期为</w:t>
      </w:r>
      <w:r>
        <w:rPr>
          <w:rFonts w:hint="eastAsia" w:ascii="宋体" w:hAnsi="宋体" w:cs="宋体"/>
          <w:color w:val="FF0000"/>
          <w:sz w:val="24"/>
          <w:highlight w:val="none"/>
          <w:lang w:val="en-US" w:eastAsia="zh-CN"/>
        </w:rPr>
        <w:t>五年</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开户协议</w:t>
      </w:r>
      <w:r>
        <w:rPr>
          <w:rFonts w:hint="eastAsia" w:ascii="宋体" w:hAnsi="宋体" w:cs="宋体"/>
          <w:color w:val="FF0000"/>
          <w:sz w:val="24"/>
          <w:highlight w:val="none"/>
        </w:rPr>
        <w:t>到期后，招标人可根据开户协议对原中标银行进行考核，考核合格可续签开户协议，但续签协议期限不超过</w:t>
      </w:r>
      <w:r>
        <w:rPr>
          <w:rFonts w:hint="eastAsia" w:ascii="宋体" w:hAnsi="宋体" w:cs="宋体"/>
          <w:color w:val="FF0000"/>
          <w:sz w:val="24"/>
          <w:highlight w:val="none"/>
          <w:lang w:val="en-US" w:eastAsia="zh-CN"/>
        </w:rPr>
        <w:t>三</w:t>
      </w:r>
      <w:r>
        <w:rPr>
          <w:rFonts w:hint="eastAsia" w:ascii="宋体" w:hAnsi="宋体" w:cs="宋体"/>
          <w:color w:val="FF0000"/>
          <w:sz w:val="24"/>
          <w:highlight w:val="none"/>
        </w:rPr>
        <w:t>年。</w:t>
      </w:r>
      <w:r>
        <w:rPr>
          <w:rFonts w:hint="eastAsia" w:ascii="宋体" w:hAnsi="宋体" w:cs="宋体"/>
          <w:color w:val="FF0000"/>
          <w:sz w:val="24"/>
        </w:rPr>
        <w:t>如果服务不能达到招标要求和投标承诺的，或国家另有规定的，以及招标人</w:t>
      </w:r>
      <w:r>
        <w:rPr>
          <w:rFonts w:hint="eastAsia" w:ascii="宋体" w:hAnsi="宋体" w:cs="宋体"/>
          <w:color w:val="FF0000"/>
          <w:kern w:val="0"/>
          <w:sz w:val="24"/>
        </w:rPr>
        <w:t>因机构改革、上级政策规定等原因，</w:t>
      </w:r>
      <w:r>
        <w:rPr>
          <w:rFonts w:hint="eastAsia" w:ascii="宋体" w:hAnsi="宋体" w:cs="宋体"/>
          <w:color w:val="FF0000"/>
          <w:sz w:val="24"/>
        </w:rPr>
        <w:t>招标人有权终止协议。</w:t>
      </w:r>
    </w:p>
    <w:p>
      <w:pPr>
        <w:spacing w:line="360" w:lineRule="auto"/>
        <w:ind w:firstLine="480" w:firstLineChars="200"/>
        <w:rPr>
          <w:rFonts w:ascii="宋体"/>
          <w:color w:val="000000" w:themeColor="text1"/>
          <w:kern w:val="0"/>
          <w:sz w:val="24"/>
        </w:rPr>
      </w:pPr>
      <w:r>
        <w:rPr>
          <w:rFonts w:hint="eastAsia" w:ascii="宋体" w:hAnsi="宋体" w:cs="宋体"/>
          <w:color w:val="000000" w:themeColor="text1"/>
          <w:kern w:val="0"/>
          <w:sz w:val="24"/>
        </w:rPr>
        <w:t>第六条违约责任</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因甲方过错给乙方造成损失的，由甲方承担在过错范围内的相应责任。甲方工作人员如违反国家有关规定，由有关机关依法进行处理。</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因乙方原因导致财政资金错划、漏划、误划、或故意不执行、迟延执行甲方委托事项，给甲方造成损失的，由乙方承担甲方直接损失、间接损失等一切法律责任和赔偿责任。乙方工作人员如违反国家有关规定，由有关机关依法进行处理。</w:t>
      </w:r>
      <w:r>
        <w:rPr>
          <w:rFonts w:ascii="宋体" w:hAnsi="宋体" w:cs="宋体"/>
          <w:color w:val="000000" w:themeColor="text1"/>
          <w:kern w:val="0"/>
          <w:sz w:val="24"/>
        </w:rPr>
        <w:t>乙方应按本合同约定的利率水平及时、足额向甲方付清利息，杜绝出现错漏或少付情形，否则，除应向甲方补足差额部分利息外，每逾期一日还应按欠款金额的万分之五向甲方支付违约金。本合同有效期内，出现前述违约情形，经甲方催告之日起15个工作日内未予纠正，或者一年期内累计出现3次以上（含三次）违约情形，</w:t>
      </w:r>
      <w:r>
        <w:rPr>
          <w:rFonts w:hint="eastAsia" w:ascii="宋体" w:hAnsi="宋体" w:cs="宋体"/>
          <w:color w:val="000000" w:themeColor="text1"/>
          <w:kern w:val="0"/>
          <w:sz w:val="24"/>
        </w:rPr>
        <w:t>除按本协议约定乙方支付违约金之外，甲</w:t>
      </w:r>
      <w:r>
        <w:rPr>
          <w:rFonts w:ascii="宋体" w:hAnsi="宋体" w:cs="宋体"/>
          <w:color w:val="000000" w:themeColor="text1"/>
          <w:kern w:val="0"/>
          <w:sz w:val="24"/>
        </w:rPr>
        <w:t>方有权</w:t>
      </w:r>
      <w:r>
        <w:rPr>
          <w:rFonts w:hint="eastAsia" w:ascii="宋体" w:hAnsi="宋体" w:cs="宋体"/>
          <w:color w:val="000000" w:themeColor="text1"/>
          <w:kern w:val="0"/>
          <w:sz w:val="24"/>
        </w:rPr>
        <w:t>单方面</w:t>
      </w:r>
      <w:r>
        <w:rPr>
          <w:rFonts w:ascii="宋体" w:hAnsi="宋体" w:cs="宋体"/>
          <w:color w:val="000000" w:themeColor="text1"/>
          <w:kern w:val="0"/>
          <w:sz w:val="24"/>
        </w:rPr>
        <w:t>解除本合同并追究乙方全部违约责任</w:t>
      </w:r>
      <w:r>
        <w:rPr>
          <w:rFonts w:hint="eastAsia" w:ascii="宋体" w:hAnsi="宋体" w:cs="宋体"/>
          <w:color w:val="000000" w:themeColor="text1"/>
          <w:kern w:val="0"/>
          <w:sz w:val="24"/>
        </w:rPr>
        <w:t>和赔偿责任</w:t>
      </w:r>
      <w:r>
        <w:rPr>
          <w:rFonts w:ascii="宋体" w:hAnsi="宋体" w:cs="宋体"/>
          <w:color w:val="000000" w:themeColor="text1"/>
          <w:kern w:val="0"/>
          <w:sz w:val="24"/>
        </w:rPr>
        <w:t>。</w:t>
      </w:r>
    </w:p>
    <w:p>
      <w:pPr>
        <w:numPr>
          <w:ilvl w:val="0"/>
          <w:numId w:val="8"/>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执行期间当一方没有按照投标及协议承诺履行相应的责任和义务的，达到上述本协议约定的解除条件，另一方有权按本协议之约定终止协议。</w:t>
      </w:r>
    </w:p>
    <w:p>
      <w:pPr>
        <w:numPr>
          <w:ilvl w:val="0"/>
          <w:numId w:val="8"/>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甲、乙双方因不可抗力无法履行协议的，根据不可抗力的影响，甲乙双方可以部分或者全部免除责任，互不负违约责任，但法律另有规定的除外，如因当事一方迟延履行协议后发生不可抗力的，不能免除责任。</w:t>
      </w:r>
    </w:p>
    <w:p>
      <w:pPr>
        <w:numPr>
          <w:ilvl w:val="0"/>
          <w:numId w:val="8"/>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本协议所称不可抗力，是指不能预见、不能避免并不能克服的客观情况。</w:t>
      </w:r>
    </w:p>
    <w:p>
      <w:pPr>
        <w:spacing w:line="400" w:lineRule="exact"/>
        <w:ind w:firstLine="480" w:firstLineChars="200"/>
        <w:rPr>
          <w:rFonts w:ascii="宋体"/>
          <w:color w:val="000000" w:themeColor="text1"/>
          <w:kern w:val="0"/>
          <w:sz w:val="24"/>
        </w:rPr>
      </w:pPr>
      <w:r>
        <w:rPr>
          <w:rFonts w:hint="eastAsia" w:ascii="宋体" w:hAnsi="宋体" w:cs="宋体"/>
          <w:color w:val="000000" w:themeColor="text1"/>
          <w:kern w:val="0"/>
          <w:sz w:val="24"/>
        </w:rPr>
        <w:t>第七条协议生效与终止</w:t>
      </w:r>
    </w:p>
    <w:p>
      <w:pPr>
        <w:numPr>
          <w:ilvl w:val="0"/>
          <w:numId w:val="9"/>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本协议自甲乙双方法定代表人（负责人）或授权代表人签字并加盖公章之日起生效。</w:t>
      </w:r>
    </w:p>
    <w:p>
      <w:pPr>
        <w:numPr>
          <w:ilvl w:val="0"/>
          <w:numId w:val="9"/>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协议履行期间，如出现协议与颁布的有关法律、法规、政策规定不符的情况，甲乙双方应按新的法律、法规、政策规定执行。</w:t>
      </w:r>
    </w:p>
    <w:p>
      <w:pPr>
        <w:numPr>
          <w:ilvl w:val="0"/>
          <w:numId w:val="9"/>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本协议终止后，甲乙双方应对委托代理期间发生的应尽未尽委托代理事项负责结清，有关承担保密义务的条款对双方仍然继续有效。</w:t>
      </w:r>
    </w:p>
    <w:p>
      <w:pPr>
        <w:numPr>
          <w:ilvl w:val="0"/>
          <w:numId w:val="9"/>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甲乙双方如遇纠纷，应本着互相信任与合作的原则，共同协商解决。如无法协商解决，则由甲方所在地人民法院诉讼解决。</w:t>
      </w:r>
    </w:p>
    <w:p>
      <w:pPr>
        <w:spacing w:line="400" w:lineRule="exact"/>
        <w:ind w:firstLine="480" w:firstLineChars="200"/>
        <w:rPr>
          <w:rFonts w:ascii="宋体"/>
          <w:color w:val="000000" w:themeColor="text1"/>
          <w:kern w:val="0"/>
          <w:sz w:val="24"/>
        </w:rPr>
      </w:pPr>
      <w:r>
        <w:rPr>
          <w:rFonts w:hint="eastAsia" w:ascii="宋体" w:hAnsi="宋体" w:cs="宋体"/>
          <w:color w:val="000000" w:themeColor="text1"/>
          <w:kern w:val="0"/>
          <w:sz w:val="24"/>
        </w:rPr>
        <w:t>第八条下列文件属于本协议的依据和附件，具有同等法律效力：</w:t>
      </w:r>
    </w:p>
    <w:p>
      <w:pPr>
        <w:numPr>
          <w:ilvl w:val="0"/>
          <w:numId w:val="10"/>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甲方的招标文件；</w:t>
      </w:r>
    </w:p>
    <w:p>
      <w:pPr>
        <w:numPr>
          <w:ilvl w:val="0"/>
          <w:numId w:val="10"/>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乙方的投标文件；</w:t>
      </w:r>
    </w:p>
    <w:p>
      <w:pPr>
        <w:numPr>
          <w:ilvl w:val="0"/>
          <w:numId w:val="10"/>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入围</w:t>
      </w:r>
      <w:r>
        <w:rPr>
          <w:rFonts w:ascii="宋体" w:hAnsi="宋体" w:cs="宋体"/>
          <w:color w:val="000000" w:themeColor="text1"/>
          <w:kern w:val="0"/>
          <w:sz w:val="24"/>
        </w:rPr>
        <w:t>/</w:t>
      </w:r>
      <w:r>
        <w:rPr>
          <w:rFonts w:hint="eastAsia" w:ascii="宋体" w:hAnsi="宋体" w:cs="宋体"/>
          <w:color w:val="000000" w:themeColor="text1"/>
          <w:kern w:val="0"/>
          <w:sz w:val="24"/>
        </w:rPr>
        <w:t>中标通知书；</w:t>
      </w:r>
    </w:p>
    <w:p>
      <w:pPr>
        <w:numPr>
          <w:ilvl w:val="0"/>
          <w:numId w:val="10"/>
        </w:numPr>
        <w:spacing w:line="400" w:lineRule="exact"/>
        <w:ind w:left="0" w:firstLine="480" w:firstLineChars="200"/>
        <w:rPr>
          <w:rFonts w:ascii="宋体"/>
          <w:color w:val="000000" w:themeColor="text1"/>
          <w:kern w:val="0"/>
          <w:sz w:val="24"/>
        </w:rPr>
      </w:pPr>
      <w:r>
        <w:rPr>
          <w:rFonts w:hint="eastAsia" w:ascii="宋体" w:hAnsi="宋体" w:cs="宋体"/>
          <w:color w:val="000000" w:themeColor="text1"/>
          <w:kern w:val="0"/>
          <w:sz w:val="24"/>
        </w:rPr>
        <w:t>甲乙双方授权代表签字并指明的其他书面文件。</w:t>
      </w:r>
    </w:p>
    <w:p>
      <w:pPr>
        <w:spacing w:line="400" w:lineRule="exact"/>
        <w:ind w:firstLine="480" w:firstLineChars="200"/>
        <w:rPr>
          <w:rFonts w:ascii="宋体"/>
          <w:color w:val="000000" w:themeColor="text1"/>
          <w:kern w:val="0"/>
          <w:sz w:val="24"/>
        </w:rPr>
      </w:pPr>
      <w:r>
        <w:rPr>
          <w:rFonts w:hint="eastAsia" w:ascii="宋体" w:hAnsi="宋体" w:cs="宋体"/>
          <w:color w:val="000000" w:themeColor="text1"/>
          <w:kern w:val="0"/>
          <w:sz w:val="24"/>
        </w:rPr>
        <w:t>第九条本协议一式陆份，其中甲方、乙方各执贰份，送财政局和主管部门备案各壹份。</w:t>
      </w:r>
    </w:p>
    <w:p>
      <w:pPr>
        <w:spacing w:line="40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（以下无正文）</w:t>
      </w:r>
    </w:p>
    <w:p>
      <w:pPr>
        <w:spacing w:line="400" w:lineRule="exact"/>
        <w:ind w:firstLine="480" w:firstLineChars="200"/>
        <w:rPr>
          <w:rFonts w:ascii="宋体"/>
          <w:color w:val="000000" w:themeColor="text1"/>
          <w:kern w:val="0"/>
          <w:sz w:val="24"/>
        </w:rPr>
      </w:pPr>
      <w:r>
        <w:rPr>
          <w:rFonts w:hint="eastAsia" w:ascii="宋体" w:hAnsi="宋体" w:cs="宋体"/>
          <w:color w:val="000000" w:themeColor="text1"/>
          <w:kern w:val="0"/>
          <w:sz w:val="24"/>
        </w:rPr>
        <w:t>甲方：（公章）</w:t>
      </w:r>
    </w:p>
    <w:p>
      <w:pPr>
        <w:spacing w:line="400" w:lineRule="exact"/>
        <w:ind w:firstLine="480" w:firstLineChars="200"/>
        <w:rPr>
          <w:rFonts w:ascii="宋体"/>
          <w:color w:val="000000" w:themeColor="text1"/>
          <w:kern w:val="0"/>
          <w:sz w:val="24"/>
        </w:rPr>
      </w:pPr>
      <w:r>
        <w:rPr>
          <w:rFonts w:hint="eastAsia" w:ascii="宋体" w:hAnsi="宋体" w:cs="宋体"/>
          <w:color w:val="000000" w:themeColor="text1"/>
          <w:kern w:val="0"/>
          <w:sz w:val="24"/>
        </w:rPr>
        <w:t>法定代表人或授权代表人签字：</w:t>
      </w:r>
    </w:p>
    <w:p>
      <w:pPr>
        <w:spacing w:line="400" w:lineRule="exact"/>
        <w:ind w:firstLine="480" w:firstLineChars="200"/>
        <w:rPr>
          <w:rFonts w:ascii="宋体"/>
          <w:color w:val="000000" w:themeColor="text1"/>
          <w:kern w:val="0"/>
          <w:sz w:val="24"/>
        </w:rPr>
      </w:pPr>
      <w:r>
        <w:rPr>
          <w:rFonts w:ascii="宋体" w:hAnsi="宋体" w:cs="宋体"/>
          <w:color w:val="000000" w:themeColor="text1"/>
          <w:kern w:val="0"/>
          <w:sz w:val="24"/>
        </w:rPr>
        <w:t xml:space="preserve">20  </w:t>
      </w:r>
      <w:r>
        <w:rPr>
          <w:rFonts w:hint="eastAsia" w:ascii="宋体" w:hAnsi="宋体" w:cs="宋体"/>
          <w:color w:val="000000" w:themeColor="text1"/>
          <w:kern w:val="0"/>
          <w:sz w:val="24"/>
        </w:rPr>
        <w:t>年月日</w:t>
      </w:r>
    </w:p>
    <w:p>
      <w:pPr>
        <w:spacing w:line="400" w:lineRule="exact"/>
        <w:ind w:firstLine="480" w:firstLineChars="200"/>
        <w:rPr>
          <w:rFonts w:ascii="宋体"/>
          <w:color w:val="000000" w:themeColor="text1"/>
          <w:kern w:val="0"/>
          <w:sz w:val="24"/>
        </w:rPr>
      </w:pPr>
      <w:r>
        <w:rPr>
          <w:rFonts w:hint="eastAsia" w:ascii="宋体" w:hAnsi="宋体" w:cs="宋体"/>
          <w:color w:val="000000" w:themeColor="text1"/>
          <w:kern w:val="0"/>
          <w:sz w:val="24"/>
        </w:rPr>
        <w:t>乙方：（公章）</w:t>
      </w:r>
    </w:p>
    <w:p>
      <w:pPr>
        <w:spacing w:line="400" w:lineRule="exact"/>
        <w:ind w:firstLine="480" w:firstLineChars="200"/>
        <w:rPr>
          <w:rFonts w:ascii="宋体"/>
          <w:color w:val="000000" w:themeColor="text1"/>
          <w:kern w:val="0"/>
          <w:sz w:val="24"/>
        </w:rPr>
      </w:pPr>
      <w:r>
        <w:rPr>
          <w:rFonts w:hint="eastAsia" w:ascii="宋体" w:hAnsi="宋体" w:cs="宋体"/>
          <w:color w:val="000000" w:themeColor="text1"/>
          <w:kern w:val="0"/>
          <w:sz w:val="24"/>
        </w:rPr>
        <w:t>法定代表人或授权代表人签字：</w:t>
      </w:r>
    </w:p>
    <w:p>
      <w:pPr>
        <w:spacing w:line="400" w:lineRule="exact"/>
        <w:ind w:firstLine="480" w:firstLineChars="200"/>
        <w:rPr>
          <w:rFonts w:ascii="宋体"/>
          <w:color w:val="000000" w:themeColor="text1"/>
          <w:kern w:val="0"/>
          <w:sz w:val="24"/>
        </w:rPr>
      </w:pPr>
      <w:r>
        <w:rPr>
          <w:rFonts w:ascii="宋体" w:hAnsi="宋体" w:cs="宋体"/>
          <w:color w:val="000000" w:themeColor="text1"/>
          <w:kern w:val="0"/>
          <w:sz w:val="24"/>
        </w:rPr>
        <w:t xml:space="preserve">20  </w:t>
      </w:r>
      <w:r>
        <w:rPr>
          <w:rFonts w:hint="eastAsia" w:ascii="宋体" w:hAnsi="宋体" w:cs="宋体"/>
          <w:color w:val="000000" w:themeColor="text1"/>
          <w:kern w:val="0"/>
          <w:sz w:val="24"/>
        </w:rPr>
        <w:t>年月日</w:t>
      </w:r>
    </w:p>
    <w:p>
      <w:pPr>
        <w:pStyle w:val="5"/>
        <w:ind w:firstLine="0"/>
        <w:jc w:val="center"/>
        <w:rPr>
          <w:rFonts w:ascii="宋体" w:hAnsi="宋体"/>
          <w:i w:val="0"/>
          <w:color w:val="000000" w:themeColor="text1"/>
          <w:sz w:val="32"/>
          <w:szCs w:val="32"/>
        </w:rPr>
        <w:sectPr>
          <w:pgSz w:w="11906" w:h="16838"/>
          <w:pgMar w:top="1440" w:right="1469" w:bottom="1440" w:left="1797" w:header="851" w:footer="992" w:gutter="0"/>
          <w:cols w:space="720" w:num="1"/>
          <w:docGrid w:linePitch="312" w:charSpace="0"/>
        </w:sectPr>
      </w:pPr>
    </w:p>
    <w:p>
      <w:pPr>
        <w:pStyle w:val="5"/>
        <w:ind w:firstLine="0"/>
        <w:jc w:val="center"/>
        <w:rPr>
          <w:rFonts w:ascii="宋体" w:hAnsi="宋体"/>
          <w:i w:val="0"/>
          <w:color w:val="000000" w:themeColor="text1"/>
          <w:sz w:val="32"/>
          <w:szCs w:val="32"/>
        </w:rPr>
      </w:pPr>
      <w:r>
        <w:rPr>
          <w:rFonts w:hint="eastAsia" w:ascii="宋体" w:hAnsi="宋体"/>
          <w:i w:val="0"/>
          <w:color w:val="000000" w:themeColor="text1"/>
          <w:sz w:val="32"/>
          <w:szCs w:val="32"/>
        </w:rPr>
        <w:t>第六章  投标文件格式</w:t>
      </w:r>
      <w:bookmarkEnd w:id="146"/>
    </w:p>
    <w:p>
      <w:pPr>
        <w:snapToGrid w:val="0"/>
        <w:spacing w:line="280" w:lineRule="exact"/>
        <w:outlineLvl w:val="1"/>
        <w:rPr>
          <w:rFonts w:ascii="宋体" w:hAnsi="宋体"/>
          <w:color w:val="000000" w:themeColor="text1"/>
          <w:sz w:val="32"/>
          <w:szCs w:val="20"/>
        </w:rPr>
      </w:pPr>
    </w:p>
    <w:p>
      <w:pPr>
        <w:snapToGrid w:val="0"/>
        <w:spacing w:line="280" w:lineRule="exact"/>
        <w:outlineLvl w:val="1"/>
        <w:rPr>
          <w:rFonts w:ascii="宋体" w:hAnsi="宋体"/>
          <w:color w:val="000000" w:themeColor="text1"/>
          <w:sz w:val="32"/>
          <w:szCs w:val="20"/>
        </w:rPr>
      </w:pPr>
    </w:p>
    <w:p>
      <w:pPr>
        <w:snapToGrid w:val="0"/>
        <w:spacing w:line="280" w:lineRule="exact"/>
        <w:outlineLvl w:val="1"/>
        <w:rPr>
          <w:rFonts w:ascii="宋体" w:hAnsi="宋体"/>
          <w:color w:val="000000" w:themeColor="text1"/>
          <w:sz w:val="32"/>
          <w:szCs w:val="20"/>
        </w:rPr>
      </w:pPr>
    </w:p>
    <w:p>
      <w:pPr>
        <w:snapToGrid w:val="0"/>
        <w:spacing w:line="280" w:lineRule="exact"/>
        <w:outlineLvl w:val="1"/>
        <w:rPr>
          <w:rFonts w:ascii="宋体" w:hAnsi="宋体"/>
          <w:color w:val="000000" w:themeColor="text1"/>
          <w:sz w:val="32"/>
          <w:szCs w:val="20"/>
        </w:rPr>
      </w:pPr>
    </w:p>
    <w:p>
      <w:pPr>
        <w:snapToGrid w:val="0"/>
        <w:rPr>
          <w:rFonts w:ascii="宋体" w:hAnsi="宋体"/>
          <w:color w:val="000000" w:themeColor="text1"/>
          <w:sz w:val="28"/>
          <w:szCs w:val="28"/>
        </w:rPr>
      </w:pPr>
      <w:r>
        <w:rPr>
          <w:rFonts w:hint="eastAsia" w:ascii="宋体" w:hAnsi="宋体"/>
          <w:color w:val="000000" w:themeColor="text1"/>
          <w:sz w:val="28"/>
          <w:szCs w:val="28"/>
        </w:rPr>
        <w:t>一、投标文件的外包装封面格式：</w:t>
      </w:r>
    </w:p>
    <w:p>
      <w:pPr>
        <w:snapToGrid w:val="0"/>
        <w:spacing w:line="240" w:lineRule="exact"/>
        <w:jc w:val="center"/>
        <w:rPr>
          <w:rFonts w:ascii="宋体" w:hAnsi="宋体"/>
          <w:bCs/>
          <w:color w:val="000000" w:themeColor="text1"/>
          <w:sz w:val="28"/>
          <w:szCs w:val="28"/>
        </w:rPr>
      </w:pPr>
    </w:p>
    <w:p>
      <w:pPr>
        <w:snapToGrid w:val="0"/>
        <w:spacing w:line="240" w:lineRule="exact"/>
        <w:jc w:val="center"/>
        <w:rPr>
          <w:rFonts w:ascii="宋体" w:hAnsi="宋体"/>
          <w:bCs/>
          <w:color w:val="000000" w:themeColor="text1"/>
          <w:sz w:val="28"/>
          <w:szCs w:val="28"/>
        </w:rPr>
      </w:pPr>
    </w:p>
    <w:p>
      <w:pPr>
        <w:snapToGrid w:val="0"/>
        <w:jc w:val="center"/>
        <w:rPr>
          <w:rFonts w:ascii="宋体" w:hAnsi="宋体"/>
          <w:bCs/>
          <w:color w:val="000000" w:themeColor="text1"/>
          <w:sz w:val="28"/>
          <w:szCs w:val="28"/>
        </w:rPr>
      </w:pPr>
      <w:r>
        <w:rPr>
          <w:rFonts w:hint="eastAsia" w:ascii="宋体" w:hAnsi="宋体"/>
          <w:bCs/>
          <w:color w:val="000000" w:themeColor="text1"/>
          <w:sz w:val="28"/>
          <w:szCs w:val="28"/>
        </w:rPr>
        <w:t>投标文件</w:t>
      </w:r>
    </w:p>
    <w:p>
      <w:pPr>
        <w:snapToGrid w:val="0"/>
        <w:rPr>
          <w:rFonts w:ascii="宋体" w:hAnsi="宋体"/>
          <w:bCs/>
          <w:color w:val="000000" w:themeColor="text1"/>
          <w:sz w:val="24"/>
          <w:szCs w:val="20"/>
        </w:rPr>
      </w:pPr>
    </w:p>
    <w:p>
      <w:pPr>
        <w:snapToGrid w:val="0"/>
        <w:spacing w:line="360" w:lineRule="auto"/>
        <w:rPr>
          <w:rFonts w:ascii="宋体" w:hAnsi="宋体"/>
          <w:bCs/>
          <w:color w:val="000000" w:themeColor="text1"/>
          <w:sz w:val="24"/>
        </w:rPr>
      </w:pPr>
    </w:p>
    <w:p>
      <w:pPr>
        <w:snapToGrid w:val="0"/>
        <w:spacing w:line="360" w:lineRule="auto"/>
        <w:rPr>
          <w:rFonts w:ascii="宋体" w:hAnsi="宋体"/>
          <w:bCs/>
          <w:color w:val="000000" w:themeColor="text1"/>
          <w:sz w:val="24"/>
        </w:rPr>
      </w:pPr>
    </w:p>
    <w:p>
      <w:pPr>
        <w:snapToGrid w:val="0"/>
        <w:spacing w:line="360" w:lineRule="auto"/>
        <w:rPr>
          <w:rFonts w:ascii="宋体" w:hAnsi="宋体"/>
          <w:bCs/>
          <w:color w:val="000000" w:themeColor="text1"/>
          <w:sz w:val="24"/>
        </w:rPr>
      </w:pPr>
    </w:p>
    <w:p>
      <w:pPr>
        <w:snapToGrid w:val="0"/>
        <w:spacing w:line="360" w:lineRule="auto"/>
        <w:rPr>
          <w:rFonts w:ascii="宋体" w:hAnsi="宋体"/>
          <w:bCs/>
          <w:color w:val="000000" w:themeColor="text1"/>
          <w:sz w:val="24"/>
        </w:rPr>
      </w:pPr>
    </w:p>
    <w:p>
      <w:pPr>
        <w:snapToGrid w:val="0"/>
        <w:spacing w:line="360" w:lineRule="auto"/>
        <w:rPr>
          <w:rFonts w:ascii="宋体" w:hAnsi="宋体"/>
          <w:bCs/>
          <w:color w:val="000000" w:themeColor="text1"/>
          <w:sz w:val="24"/>
        </w:rPr>
      </w:pPr>
    </w:p>
    <w:p>
      <w:pPr>
        <w:snapToGrid w:val="0"/>
        <w:spacing w:line="360" w:lineRule="auto"/>
        <w:rPr>
          <w:rFonts w:ascii="宋体" w:hAnsi="宋体"/>
          <w:bCs/>
          <w:color w:val="000000" w:themeColor="text1"/>
          <w:sz w:val="24"/>
        </w:rPr>
      </w:pPr>
      <w:r>
        <w:rPr>
          <w:rFonts w:hint="eastAsia" w:ascii="宋体" w:hAnsi="宋体"/>
          <w:bCs/>
          <w:color w:val="000000" w:themeColor="text1"/>
          <w:sz w:val="24"/>
        </w:rPr>
        <w:t xml:space="preserve">项目名称： </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项目编号：</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投标人名称：</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投标人地址：</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在年月日时分之前不得启封</w:t>
      </w: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p>
    <w:p>
      <w:pPr>
        <w:snapToGrid w:val="0"/>
        <w:ind w:firstLine="4080" w:firstLineChars="1700"/>
        <w:rPr>
          <w:rFonts w:ascii="宋体" w:hAnsi="宋体"/>
          <w:bCs/>
          <w:color w:val="000000" w:themeColor="text1"/>
          <w:sz w:val="24"/>
          <w:szCs w:val="20"/>
        </w:rPr>
      </w:pPr>
      <w:r>
        <w:rPr>
          <w:rFonts w:hint="eastAsia" w:ascii="宋体" w:hAnsi="宋体"/>
          <w:bCs/>
          <w:color w:val="000000" w:themeColor="text1"/>
          <w:sz w:val="24"/>
          <w:szCs w:val="20"/>
        </w:rPr>
        <w:t xml:space="preserve">         投标人名称（投标人公章）</w:t>
      </w:r>
    </w:p>
    <w:p>
      <w:pPr>
        <w:snapToGrid w:val="0"/>
        <w:ind w:firstLine="645"/>
        <w:jc w:val="center"/>
        <w:rPr>
          <w:rFonts w:ascii="宋体" w:hAnsi="宋体"/>
          <w:bCs/>
          <w:color w:val="000000" w:themeColor="text1"/>
          <w:sz w:val="24"/>
        </w:rPr>
      </w:pPr>
    </w:p>
    <w:p>
      <w:pPr>
        <w:snapToGrid w:val="0"/>
        <w:ind w:firstLine="645"/>
        <w:jc w:val="center"/>
        <w:rPr>
          <w:rFonts w:ascii="宋体" w:hAnsi="宋体"/>
          <w:bCs/>
          <w:color w:val="000000" w:themeColor="text1"/>
          <w:sz w:val="24"/>
          <w:szCs w:val="20"/>
        </w:rPr>
      </w:pPr>
      <w:r>
        <w:rPr>
          <w:rFonts w:hint="eastAsia" w:ascii="宋体" w:hAnsi="宋体"/>
          <w:bCs/>
          <w:color w:val="000000" w:themeColor="text1"/>
          <w:sz w:val="24"/>
        </w:rPr>
        <w:t xml:space="preserve">                             年   月    日</w:t>
      </w: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jc w:val="center"/>
        <w:outlineLvl w:val="1"/>
        <w:rPr>
          <w:rFonts w:ascii="宋体" w:hAnsi="宋体"/>
          <w:color w:val="000000" w:themeColor="text1"/>
        </w:rPr>
      </w:pPr>
    </w:p>
    <w:p>
      <w:pPr>
        <w:snapToGrid w:val="0"/>
        <w:rPr>
          <w:rFonts w:ascii="宋体" w:hAnsi="宋体"/>
          <w:color w:val="000000" w:themeColor="text1"/>
          <w:sz w:val="24"/>
        </w:rPr>
      </w:pPr>
    </w:p>
    <w:p>
      <w:pPr>
        <w:snapToGrid w:val="0"/>
        <w:rPr>
          <w:rFonts w:ascii="宋体" w:hAnsi="宋体"/>
          <w:color w:val="000000" w:themeColor="text1"/>
          <w:sz w:val="28"/>
          <w:szCs w:val="28"/>
        </w:rPr>
      </w:pPr>
      <w:r>
        <w:rPr>
          <w:rFonts w:hint="eastAsia" w:ascii="宋体" w:hAnsi="宋体"/>
          <w:color w:val="000000" w:themeColor="text1"/>
          <w:sz w:val="28"/>
          <w:szCs w:val="28"/>
        </w:rPr>
        <w:t>二、投标文件封面格式：</w:t>
      </w:r>
    </w:p>
    <w:p>
      <w:pPr>
        <w:snapToGrid w:val="0"/>
        <w:rPr>
          <w:rFonts w:ascii="宋体" w:hAnsi="宋体"/>
          <w:b/>
          <w:bCs/>
          <w:color w:val="000000" w:themeColor="text1"/>
          <w:sz w:val="24"/>
        </w:rPr>
      </w:pPr>
      <w:r>
        <w:rPr>
          <w:rFonts w:hint="eastAsia" w:ascii="宋体" w:hAnsi="宋体"/>
          <w:b/>
          <w:bCs/>
          <w:color w:val="000000" w:themeColor="text1"/>
          <w:sz w:val="24"/>
        </w:rPr>
        <w:t>正本</w:t>
      </w:r>
      <w:r>
        <w:rPr>
          <w:rFonts w:ascii="宋体" w:hAnsi="宋体"/>
          <w:b/>
          <w:bCs/>
          <w:color w:val="000000" w:themeColor="text1"/>
          <w:sz w:val="24"/>
        </w:rPr>
        <w:t>/</w:t>
      </w:r>
      <w:r>
        <w:rPr>
          <w:rFonts w:hint="eastAsia" w:ascii="宋体" w:hAnsi="宋体"/>
          <w:b/>
          <w:bCs/>
          <w:color w:val="000000" w:themeColor="text1"/>
          <w:sz w:val="24"/>
        </w:rPr>
        <w:t>或副本</w:t>
      </w:r>
    </w:p>
    <w:p>
      <w:pPr>
        <w:snapToGrid w:val="0"/>
        <w:spacing w:line="240" w:lineRule="exact"/>
        <w:jc w:val="center"/>
        <w:rPr>
          <w:rFonts w:ascii="宋体" w:hAnsi="宋体"/>
          <w:bCs/>
          <w:color w:val="000000" w:themeColor="text1"/>
          <w:sz w:val="24"/>
          <w:szCs w:val="20"/>
        </w:rPr>
      </w:pPr>
    </w:p>
    <w:p>
      <w:pPr>
        <w:snapToGrid w:val="0"/>
        <w:spacing w:line="240" w:lineRule="exact"/>
        <w:jc w:val="center"/>
        <w:rPr>
          <w:rFonts w:ascii="宋体" w:hAnsi="宋体"/>
          <w:bCs/>
          <w:color w:val="000000" w:themeColor="text1"/>
          <w:sz w:val="24"/>
          <w:szCs w:val="20"/>
        </w:rPr>
      </w:pPr>
    </w:p>
    <w:p>
      <w:pPr>
        <w:snapToGrid w:val="0"/>
        <w:spacing w:line="240" w:lineRule="exact"/>
        <w:jc w:val="center"/>
        <w:rPr>
          <w:rFonts w:ascii="宋体" w:hAnsi="宋体"/>
          <w:bCs/>
          <w:color w:val="000000" w:themeColor="text1"/>
          <w:sz w:val="24"/>
          <w:szCs w:val="20"/>
        </w:rPr>
      </w:pPr>
    </w:p>
    <w:p>
      <w:pPr>
        <w:snapToGrid w:val="0"/>
        <w:spacing w:line="240" w:lineRule="exact"/>
        <w:jc w:val="center"/>
        <w:rPr>
          <w:rFonts w:ascii="宋体" w:hAnsi="宋体"/>
          <w:bCs/>
          <w:color w:val="000000" w:themeColor="text1"/>
          <w:sz w:val="24"/>
          <w:szCs w:val="20"/>
        </w:rPr>
      </w:pPr>
    </w:p>
    <w:p>
      <w:pPr>
        <w:snapToGrid w:val="0"/>
        <w:jc w:val="center"/>
        <w:rPr>
          <w:rFonts w:ascii="宋体" w:hAnsi="宋体"/>
          <w:bCs/>
          <w:color w:val="000000" w:themeColor="text1"/>
          <w:sz w:val="32"/>
          <w:szCs w:val="32"/>
        </w:rPr>
      </w:pPr>
      <w:r>
        <w:rPr>
          <w:rFonts w:hint="eastAsia" w:ascii="宋体" w:hAnsi="宋体"/>
          <w:bCs/>
          <w:color w:val="000000" w:themeColor="text1"/>
          <w:sz w:val="32"/>
          <w:szCs w:val="32"/>
        </w:rPr>
        <w:t>投标文件</w:t>
      </w:r>
    </w:p>
    <w:p>
      <w:pPr>
        <w:snapToGrid w:val="0"/>
        <w:rPr>
          <w:rFonts w:ascii="宋体" w:hAnsi="宋体"/>
          <w:bCs/>
          <w:color w:val="000000" w:themeColor="text1"/>
          <w:sz w:val="24"/>
          <w:szCs w:val="20"/>
        </w:rPr>
      </w:pPr>
    </w:p>
    <w:p>
      <w:pPr>
        <w:snapToGrid w:val="0"/>
        <w:spacing w:line="360" w:lineRule="auto"/>
        <w:rPr>
          <w:rFonts w:ascii="宋体" w:hAnsi="宋体"/>
          <w:bCs/>
          <w:color w:val="000000" w:themeColor="text1"/>
          <w:sz w:val="24"/>
        </w:rPr>
      </w:pPr>
      <w:r>
        <w:rPr>
          <w:rFonts w:hint="eastAsia" w:ascii="宋体" w:hAnsi="宋体"/>
          <w:bCs/>
          <w:color w:val="000000" w:themeColor="text1"/>
          <w:sz w:val="24"/>
        </w:rPr>
        <w:t>项目名称：</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项目编号：</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投标人名称：</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投标人地址：</w:t>
      </w:r>
    </w:p>
    <w:p>
      <w:pPr>
        <w:pStyle w:val="4"/>
        <w:snapToGrid w:val="0"/>
        <w:ind w:firstLine="1497" w:firstLineChars="416"/>
        <w:rPr>
          <w:rFonts w:ascii="宋体" w:hAnsi="宋体"/>
          <w:color w:val="000000" w:themeColor="text1"/>
          <w:sz w:val="36"/>
        </w:rPr>
      </w:pPr>
    </w:p>
    <w:p>
      <w:pPr>
        <w:pStyle w:val="4"/>
        <w:snapToGrid w:val="0"/>
        <w:ind w:firstLine="1497" w:firstLineChars="416"/>
        <w:rPr>
          <w:rFonts w:ascii="宋体" w:hAnsi="宋体"/>
          <w:color w:val="000000" w:themeColor="text1"/>
          <w:sz w:val="36"/>
        </w:rPr>
      </w:pPr>
    </w:p>
    <w:p>
      <w:pPr>
        <w:snapToGrid w:val="0"/>
        <w:ind w:firstLine="4920" w:firstLineChars="2050"/>
        <w:rPr>
          <w:rFonts w:ascii="宋体" w:hAnsi="宋体"/>
          <w:bCs/>
          <w:color w:val="000000" w:themeColor="text1"/>
          <w:sz w:val="24"/>
          <w:szCs w:val="20"/>
        </w:rPr>
      </w:pPr>
      <w:r>
        <w:rPr>
          <w:rFonts w:hint="eastAsia" w:ascii="宋体" w:hAnsi="宋体"/>
          <w:bCs/>
          <w:color w:val="000000" w:themeColor="text1"/>
          <w:sz w:val="24"/>
          <w:szCs w:val="20"/>
        </w:rPr>
        <w:t>投标人名称（投标人公章）</w:t>
      </w:r>
    </w:p>
    <w:p>
      <w:pPr>
        <w:snapToGrid w:val="0"/>
        <w:ind w:firstLine="645"/>
        <w:jc w:val="center"/>
        <w:rPr>
          <w:rFonts w:ascii="宋体" w:hAnsi="宋体"/>
          <w:color w:val="000000" w:themeColor="text1"/>
          <w:sz w:val="24"/>
        </w:rPr>
      </w:pPr>
    </w:p>
    <w:p>
      <w:pPr>
        <w:snapToGrid w:val="0"/>
        <w:ind w:firstLine="645"/>
        <w:jc w:val="center"/>
        <w:rPr>
          <w:rFonts w:ascii="宋体" w:hAnsi="宋体"/>
          <w:color w:val="000000" w:themeColor="text1"/>
          <w:sz w:val="24"/>
          <w:szCs w:val="20"/>
        </w:rPr>
      </w:pPr>
      <w:r>
        <w:rPr>
          <w:rFonts w:hint="eastAsia" w:ascii="宋体" w:hAnsi="宋体"/>
          <w:color w:val="000000" w:themeColor="text1"/>
          <w:sz w:val="24"/>
        </w:rPr>
        <w:t xml:space="preserve">                      年   月   日</w:t>
      </w:r>
    </w:p>
    <w:p>
      <w:pPr>
        <w:snapToGrid w:val="0"/>
        <w:rPr>
          <w:rFonts w:ascii="宋体" w:hAnsi="宋体"/>
          <w:color w:val="000000" w:themeColor="text1"/>
          <w:sz w:val="24"/>
          <w:szCs w:val="20"/>
        </w:rPr>
      </w:pPr>
    </w:p>
    <w:p>
      <w:pPr>
        <w:snapToGrid w:val="0"/>
        <w:spacing w:line="360" w:lineRule="auto"/>
        <w:rPr>
          <w:rFonts w:ascii="宋体" w:hAnsi="宋体"/>
          <w:color w:val="000000" w:themeColor="text1"/>
          <w:sz w:val="24"/>
        </w:rPr>
      </w:pPr>
      <w:r>
        <w:rPr>
          <w:rFonts w:ascii="宋体" w:hAnsi="宋体"/>
          <w:color w:val="000000" w:themeColor="text1"/>
          <w:sz w:val="24"/>
        </w:rPr>
        <w:br w:type="column"/>
      </w:r>
    </w:p>
    <w:p>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1.投标声明书</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w:t>
      </w:r>
      <w:r>
        <w:rPr>
          <w:rFonts w:hint="eastAsia" w:ascii="宋体" w:hAnsi="宋体"/>
          <w:color w:val="000000" w:themeColor="text1"/>
          <w:sz w:val="24"/>
          <w:u w:val="single"/>
          <w:lang w:eastAsia="zh-CN"/>
        </w:rPr>
        <w:t>建德市规划和自然资源局土地出让交易保证金账户开户银行项目</w:t>
      </w:r>
      <w:r>
        <w:rPr>
          <w:rFonts w:hint="eastAsia" w:ascii="宋体" w:hAnsi="宋体"/>
          <w:color w:val="000000" w:themeColor="text1"/>
          <w:sz w:val="24"/>
        </w:rPr>
        <w:t>的招标公告，签字代表</w:t>
      </w:r>
      <w:r>
        <w:rPr>
          <w:rFonts w:hint="eastAsia" w:ascii="宋体" w:hAnsi="宋体"/>
          <w:color w:val="000000" w:themeColor="text1"/>
          <w:sz w:val="24"/>
          <w:u w:val="single"/>
        </w:rPr>
        <w:t>（姓名和职务）</w:t>
      </w:r>
      <w:r>
        <w:rPr>
          <w:rFonts w:hint="eastAsia" w:ascii="宋体" w:hAnsi="宋体"/>
          <w:color w:val="000000" w:themeColor="text1"/>
          <w:sz w:val="24"/>
        </w:rPr>
        <w:t>经正式授权并代表投标人</w:t>
      </w:r>
      <w:r>
        <w:rPr>
          <w:rFonts w:hint="eastAsia" w:ascii="宋体" w:hAnsi="宋体"/>
          <w:color w:val="000000" w:themeColor="text1"/>
          <w:sz w:val="24"/>
          <w:u w:val="single"/>
        </w:rPr>
        <w:t>（投标人名称、地址）</w:t>
      </w:r>
      <w:r>
        <w:rPr>
          <w:rFonts w:hint="eastAsia" w:ascii="宋体" w:hAnsi="宋体"/>
          <w:color w:val="000000" w:themeColor="text1"/>
          <w:sz w:val="24"/>
        </w:rPr>
        <w:t>提交下述文件电子一份，纸质两份。</w:t>
      </w:r>
    </w:p>
    <w:p>
      <w:pPr>
        <w:numPr>
          <w:ilvl w:val="0"/>
          <w:numId w:val="11"/>
        </w:numPr>
        <w:tabs>
          <w:tab w:val="left" w:pos="720"/>
          <w:tab w:val="clear" w:pos="360"/>
        </w:tabs>
        <w:spacing w:line="360" w:lineRule="auto"/>
        <w:ind w:firstLine="0"/>
        <w:rPr>
          <w:rFonts w:ascii="宋体" w:hAnsi="宋体"/>
          <w:color w:val="000000" w:themeColor="text1"/>
          <w:sz w:val="24"/>
        </w:rPr>
      </w:pPr>
      <w:r>
        <w:rPr>
          <w:rFonts w:hint="eastAsia" w:ascii="宋体" w:hAnsi="宋体"/>
          <w:color w:val="000000" w:themeColor="text1"/>
          <w:sz w:val="24"/>
        </w:rPr>
        <w:t>投标人基本情况声明</w:t>
      </w:r>
    </w:p>
    <w:p>
      <w:pPr>
        <w:numPr>
          <w:ilvl w:val="0"/>
          <w:numId w:val="11"/>
        </w:numPr>
        <w:tabs>
          <w:tab w:val="left" w:pos="720"/>
          <w:tab w:val="clear" w:pos="360"/>
        </w:tabs>
        <w:spacing w:line="360" w:lineRule="auto"/>
        <w:ind w:firstLine="0"/>
        <w:rPr>
          <w:rFonts w:ascii="宋体" w:hAnsi="宋体"/>
          <w:color w:val="000000" w:themeColor="text1"/>
          <w:sz w:val="24"/>
        </w:rPr>
      </w:pPr>
      <w:r>
        <w:rPr>
          <w:rFonts w:hint="eastAsia" w:ascii="宋体" w:hAnsi="宋体"/>
          <w:color w:val="000000" w:themeColor="text1"/>
          <w:sz w:val="24"/>
        </w:rPr>
        <w:t>投标人资格证明文件；</w:t>
      </w:r>
    </w:p>
    <w:p>
      <w:pPr>
        <w:numPr>
          <w:ilvl w:val="0"/>
          <w:numId w:val="11"/>
        </w:numPr>
        <w:tabs>
          <w:tab w:val="left" w:pos="720"/>
          <w:tab w:val="clear" w:pos="360"/>
        </w:tabs>
        <w:spacing w:line="360" w:lineRule="auto"/>
        <w:ind w:firstLine="0"/>
        <w:rPr>
          <w:rFonts w:ascii="宋体" w:hAnsi="宋体"/>
          <w:color w:val="000000" w:themeColor="text1"/>
          <w:sz w:val="24"/>
        </w:rPr>
      </w:pPr>
      <w:r>
        <w:rPr>
          <w:rFonts w:hint="eastAsia" w:ascii="宋体" w:hAnsi="宋体"/>
          <w:color w:val="000000" w:themeColor="text1"/>
          <w:sz w:val="24"/>
        </w:rPr>
        <w:t>202</w:t>
      </w:r>
      <w:r>
        <w:rPr>
          <w:rFonts w:hint="eastAsia" w:ascii="宋体" w:hAnsi="宋体"/>
          <w:color w:val="000000" w:themeColor="text1"/>
          <w:sz w:val="24"/>
          <w:lang w:val="en-US" w:eastAsia="zh-CN"/>
        </w:rPr>
        <w:t>5</w:t>
      </w:r>
      <w:r>
        <w:rPr>
          <w:rFonts w:hint="eastAsia" w:ascii="宋体" w:hAnsi="宋体"/>
          <w:color w:val="000000" w:themeColor="text1"/>
          <w:sz w:val="24"/>
        </w:rPr>
        <w:t>年度资产负债表和损益表；</w:t>
      </w:r>
    </w:p>
    <w:p>
      <w:pPr>
        <w:numPr>
          <w:ilvl w:val="0"/>
          <w:numId w:val="11"/>
        </w:numPr>
        <w:tabs>
          <w:tab w:val="left" w:pos="720"/>
          <w:tab w:val="clear" w:pos="360"/>
        </w:tabs>
        <w:spacing w:line="360" w:lineRule="auto"/>
        <w:ind w:firstLine="0"/>
        <w:rPr>
          <w:rFonts w:ascii="宋体" w:hAnsi="宋体"/>
          <w:color w:val="000000" w:themeColor="text1"/>
          <w:sz w:val="24"/>
        </w:rPr>
      </w:pPr>
      <w:r>
        <w:rPr>
          <w:rFonts w:hint="eastAsia" w:ascii="宋体" w:hAnsi="宋体"/>
          <w:color w:val="000000" w:themeColor="text1"/>
          <w:sz w:val="24"/>
        </w:rPr>
        <w:t>投标人的具体情况；</w:t>
      </w:r>
    </w:p>
    <w:p>
      <w:pPr>
        <w:numPr>
          <w:ilvl w:val="0"/>
          <w:numId w:val="11"/>
        </w:numPr>
        <w:tabs>
          <w:tab w:val="left" w:pos="720"/>
          <w:tab w:val="clear" w:pos="360"/>
        </w:tabs>
        <w:spacing w:line="360" w:lineRule="auto"/>
        <w:ind w:firstLine="0"/>
        <w:rPr>
          <w:rFonts w:ascii="宋体" w:hAnsi="宋体"/>
          <w:color w:val="000000" w:themeColor="text1"/>
          <w:sz w:val="24"/>
        </w:rPr>
      </w:pPr>
      <w:r>
        <w:rPr>
          <w:rFonts w:hint="eastAsia" w:ascii="宋体" w:hAnsi="宋体"/>
          <w:color w:val="000000" w:themeColor="text1"/>
          <w:sz w:val="24"/>
        </w:rPr>
        <w:t>投标人为招标人提供优质服务的承诺书；</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据此函，签字代表宣布同意如下：</w:t>
      </w:r>
    </w:p>
    <w:p>
      <w:pPr>
        <w:numPr>
          <w:ilvl w:val="0"/>
          <w:numId w:val="12"/>
        </w:numPr>
        <w:spacing w:line="360" w:lineRule="auto"/>
        <w:rPr>
          <w:rFonts w:ascii="宋体" w:hAnsi="宋体"/>
          <w:color w:val="000000" w:themeColor="text1"/>
          <w:sz w:val="24"/>
        </w:rPr>
      </w:pPr>
      <w:r>
        <w:rPr>
          <w:rFonts w:hint="eastAsia" w:ascii="宋体" w:hAnsi="宋体"/>
          <w:color w:val="000000" w:themeColor="text1"/>
          <w:sz w:val="24"/>
        </w:rPr>
        <w:t>我方将按招标文件的规定履行协议责任和义务；</w:t>
      </w:r>
    </w:p>
    <w:p>
      <w:pPr>
        <w:numPr>
          <w:ilvl w:val="0"/>
          <w:numId w:val="12"/>
        </w:numPr>
        <w:spacing w:line="360" w:lineRule="auto"/>
        <w:rPr>
          <w:rFonts w:ascii="宋体" w:hAnsi="宋体"/>
          <w:color w:val="000000" w:themeColor="text1"/>
          <w:sz w:val="24"/>
        </w:rPr>
      </w:pPr>
      <w:r>
        <w:rPr>
          <w:rFonts w:hint="eastAsia" w:ascii="宋体" w:hAnsi="宋体"/>
          <w:color w:val="000000" w:themeColor="text1"/>
          <w:sz w:val="24"/>
        </w:rPr>
        <w:t>我方已详细审核全部招标文件，包括补充修改文件（如果有的话）。我们完全理解并同意放弃对这方面有不明及误解的权利；</w:t>
      </w:r>
    </w:p>
    <w:p>
      <w:pPr>
        <w:numPr>
          <w:ilvl w:val="0"/>
          <w:numId w:val="12"/>
        </w:numPr>
        <w:spacing w:line="360" w:lineRule="auto"/>
        <w:rPr>
          <w:rFonts w:ascii="宋体" w:hAnsi="宋体"/>
          <w:color w:val="000000" w:themeColor="text1"/>
          <w:sz w:val="24"/>
        </w:rPr>
      </w:pPr>
      <w:r>
        <w:rPr>
          <w:rFonts w:hint="eastAsia" w:ascii="宋体" w:hAnsi="宋体"/>
          <w:color w:val="000000" w:themeColor="text1"/>
          <w:sz w:val="24"/>
        </w:rPr>
        <w:t>本投标有效期为投标截止期结束后</w:t>
      </w:r>
      <w:r>
        <w:rPr>
          <w:rFonts w:hint="eastAsia" w:ascii="宋体" w:hAnsi="宋体"/>
          <w:color w:val="000000" w:themeColor="text1"/>
          <w:sz w:val="24"/>
          <w:u w:val="single"/>
        </w:rPr>
        <w:t>90</w:t>
      </w:r>
      <w:r>
        <w:rPr>
          <w:rFonts w:hint="eastAsia" w:ascii="宋体" w:hAnsi="宋体"/>
          <w:color w:val="000000" w:themeColor="text1"/>
          <w:sz w:val="24"/>
        </w:rPr>
        <w:t>天。</w:t>
      </w:r>
    </w:p>
    <w:p>
      <w:pPr>
        <w:numPr>
          <w:ilvl w:val="0"/>
          <w:numId w:val="12"/>
        </w:numPr>
        <w:spacing w:line="360" w:lineRule="auto"/>
        <w:rPr>
          <w:rFonts w:ascii="宋体" w:hAnsi="宋体"/>
          <w:color w:val="000000" w:themeColor="text1"/>
          <w:sz w:val="24"/>
        </w:rPr>
      </w:pPr>
      <w:r>
        <w:rPr>
          <w:rFonts w:hint="eastAsia" w:ascii="宋体" w:hAnsi="宋体"/>
          <w:color w:val="000000" w:themeColor="text1"/>
          <w:sz w:val="24"/>
        </w:rPr>
        <w:t>如果在规定的开标时间后，我方在投标有效期内撤回投标，可取消我行本次投标资格；</w:t>
      </w:r>
    </w:p>
    <w:p>
      <w:pPr>
        <w:numPr>
          <w:ilvl w:val="0"/>
          <w:numId w:val="12"/>
        </w:numPr>
        <w:spacing w:line="360" w:lineRule="auto"/>
        <w:rPr>
          <w:rFonts w:ascii="宋体" w:hAnsi="宋体"/>
          <w:color w:val="000000" w:themeColor="text1"/>
          <w:sz w:val="24"/>
        </w:rPr>
      </w:pPr>
      <w:r>
        <w:rPr>
          <w:rFonts w:hint="eastAsia" w:ascii="宋体" w:hAnsi="宋体"/>
          <w:color w:val="000000" w:themeColor="text1"/>
          <w:sz w:val="24"/>
        </w:rPr>
        <w:t>我方同意提供按照贵方要求的与其投标有关的一切证据或资料；</w:t>
      </w:r>
    </w:p>
    <w:p>
      <w:pPr>
        <w:numPr>
          <w:ilvl w:val="0"/>
          <w:numId w:val="12"/>
        </w:numPr>
        <w:spacing w:line="360" w:lineRule="auto"/>
        <w:rPr>
          <w:rFonts w:ascii="宋体" w:hAnsi="宋体"/>
          <w:color w:val="000000" w:themeColor="text1"/>
          <w:sz w:val="24"/>
        </w:rPr>
      </w:pPr>
      <w:r>
        <w:rPr>
          <w:rFonts w:hint="eastAsia" w:ascii="宋体" w:hAnsi="宋体"/>
          <w:color w:val="000000" w:themeColor="text1"/>
          <w:sz w:val="24"/>
        </w:rPr>
        <w:t>一旦我方中标，我们将根据招标文件的规定，严格按照《民法典》履行自己的责任和义务，并保证完全按照合同为</w:t>
      </w:r>
      <w:r>
        <w:rPr>
          <w:rFonts w:hint="eastAsia" w:ascii="宋体" w:hAnsi="宋体"/>
          <w:color w:val="000000" w:themeColor="text1"/>
          <w:sz w:val="24"/>
          <w:u w:val="single"/>
          <w:lang w:eastAsia="zh-CN"/>
        </w:rPr>
        <w:t>建德市规划和自然资源局土地出让交易保证金账户开户银行项目</w:t>
      </w:r>
      <w:r>
        <w:rPr>
          <w:rFonts w:hint="eastAsia" w:ascii="宋体" w:hAnsi="宋体"/>
          <w:color w:val="000000" w:themeColor="text1"/>
          <w:sz w:val="24"/>
        </w:rPr>
        <w:t>的相关业务提供服务；</w:t>
      </w:r>
    </w:p>
    <w:p>
      <w:pPr>
        <w:spacing w:line="360" w:lineRule="auto"/>
        <w:rPr>
          <w:rFonts w:ascii="宋体" w:hAnsi="宋体"/>
          <w:color w:val="000000" w:themeColor="text1"/>
          <w:sz w:val="24"/>
        </w:rPr>
      </w:pPr>
      <w:r>
        <w:rPr>
          <w:rFonts w:hint="eastAsia" w:ascii="宋体" w:hAnsi="宋体"/>
          <w:color w:val="000000" w:themeColor="text1"/>
          <w:sz w:val="24"/>
        </w:rPr>
        <w:t>7、 与本投标有关的一切正式往来信函请寄：</w:t>
      </w:r>
    </w:p>
    <w:p>
      <w:pPr>
        <w:spacing w:line="360" w:lineRule="auto"/>
        <w:ind w:left="360"/>
        <w:rPr>
          <w:rFonts w:ascii="宋体" w:hAnsi="宋体"/>
          <w:color w:val="000000" w:themeColor="text1"/>
          <w:sz w:val="24"/>
          <w:u w:val="single"/>
        </w:rPr>
      </w:pPr>
      <w:r>
        <w:rPr>
          <w:rFonts w:hint="eastAsia" w:ascii="宋体" w:hAnsi="宋体"/>
          <w:color w:val="000000" w:themeColor="text1"/>
          <w:sz w:val="24"/>
        </w:rPr>
        <w:t>地址： 邮编：</w:t>
      </w:r>
    </w:p>
    <w:p>
      <w:pPr>
        <w:spacing w:line="360" w:lineRule="auto"/>
        <w:ind w:left="360"/>
        <w:rPr>
          <w:rFonts w:ascii="宋体" w:hAnsi="宋体"/>
          <w:color w:val="000000" w:themeColor="text1"/>
          <w:sz w:val="24"/>
          <w:u w:val="single"/>
        </w:rPr>
      </w:pPr>
      <w:r>
        <w:rPr>
          <w:rFonts w:hint="eastAsia" w:ascii="宋体" w:hAnsi="宋体"/>
          <w:color w:val="000000" w:themeColor="text1"/>
          <w:sz w:val="24"/>
        </w:rPr>
        <w:t>电话：传真：</w:t>
      </w:r>
    </w:p>
    <w:p>
      <w:pPr>
        <w:spacing w:line="360" w:lineRule="auto"/>
        <w:ind w:left="360"/>
        <w:rPr>
          <w:rFonts w:ascii="宋体" w:hAnsi="宋体"/>
          <w:color w:val="000000" w:themeColor="text1"/>
          <w:sz w:val="24"/>
          <w:u w:val="single"/>
        </w:rPr>
      </w:pPr>
      <w:r>
        <w:rPr>
          <w:rFonts w:hint="eastAsia" w:ascii="宋体" w:hAnsi="宋体"/>
          <w:color w:val="000000" w:themeColor="text1"/>
          <w:sz w:val="24"/>
        </w:rPr>
        <w:t>授权代表签字：</w:t>
      </w:r>
    </w:p>
    <w:p>
      <w:pPr>
        <w:spacing w:line="360" w:lineRule="auto"/>
        <w:ind w:left="360"/>
        <w:rPr>
          <w:rFonts w:ascii="宋体" w:hAnsi="宋体"/>
          <w:color w:val="000000" w:themeColor="text1"/>
          <w:sz w:val="24"/>
        </w:rPr>
      </w:pPr>
      <w:r>
        <w:rPr>
          <w:rFonts w:hint="eastAsia" w:ascii="宋体" w:hAnsi="宋体"/>
          <w:color w:val="000000" w:themeColor="text1"/>
          <w:sz w:val="24"/>
        </w:rPr>
        <w:t xml:space="preserve">投标人名称：  </w:t>
      </w:r>
    </w:p>
    <w:p>
      <w:pPr>
        <w:spacing w:line="360" w:lineRule="auto"/>
        <w:ind w:left="360"/>
        <w:rPr>
          <w:rFonts w:ascii="宋体" w:hAnsi="宋体"/>
          <w:color w:val="000000" w:themeColor="text1"/>
          <w:sz w:val="24"/>
        </w:rPr>
      </w:pPr>
      <w:r>
        <w:rPr>
          <w:rFonts w:hint="eastAsia" w:ascii="宋体" w:hAnsi="宋体"/>
          <w:color w:val="000000" w:themeColor="text1"/>
          <w:sz w:val="24"/>
        </w:rPr>
        <w:t xml:space="preserve">公章：   </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日期：   年 月 日</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2.投标报价一览表</w:t>
      </w:r>
    </w:p>
    <w:p>
      <w:pPr>
        <w:spacing w:line="360" w:lineRule="auto"/>
        <w:rPr>
          <w:rFonts w:ascii="宋体" w:hAnsi="宋体"/>
          <w:color w:val="000000" w:themeColor="text1"/>
          <w:sz w:val="28"/>
          <w:szCs w:val="28"/>
        </w:rPr>
      </w:pPr>
    </w:p>
    <w:p>
      <w:pPr>
        <w:spacing w:line="360" w:lineRule="auto"/>
        <w:ind w:firstLine="210" w:firstLineChars="75"/>
        <w:rPr>
          <w:rFonts w:ascii="宋体" w:hAnsi="宋体"/>
          <w:color w:val="000000" w:themeColor="text1"/>
          <w:sz w:val="28"/>
          <w:szCs w:val="28"/>
        </w:rPr>
      </w:pPr>
      <w:r>
        <w:rPr>
          <w:rFonts w:ascii="宋体" w:hAnsi="宋体"/>
          <w:color w:val="000000" w:themeColor="text1"/>
          <w:sz w:val="28"/>
          <w:szCs w:val="28"/>
        </w:rPr>
        <w:t>招标编号：</w:t>
      </w:r>
      <w:r>
        <w:rPr>
          <w:rFonts w:hint="eastAsia" w:ascii="宋体" w:hAnsi="宋体"/>
          <w:color w:val="000000" w:themeColor="text1"/>
          <w:sz w:val="28"/>
          <w:szCs w:val="28"/>
        </w:rPr>
        <w:t>项目名称：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4"/>
        <w:gridCol w:w="2930"/>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894" w:type="dxa"/>
            <w:vAlign w:val="center"/>
          </w:tcPr>
          <w:p>
            <w:pPr>
              <w:tabs>
                <w:tab w:val="left" w:pos="2670"/>
              </w:tabs>
              <w:adjustRightInd w:val="0"/>
              <w:spacing w:line="360" w:lineRule="auto"/>
              <w:jc w:val="center"/>
              <w:rPr>
                <w:rFonts w:ascii="宋体"/>
                <w:b/>
                <w:bCs/>
                <w:color w:val="000000" w:themeColor="text1"/>
                <w:sz w:val="24"/>
                <w:lang w:val="zh-CN"/>
              </w:rPr>
            </w:pPr>
            <w:r>
              <w:rPr>
                <w:rFonts w:hint="eastAsia" w:ascii="宋体" w:hAnsi="宋体" w:cs="宋体"/>
                <w:b/>
                <w:bCs/>
                <w:color w:val="000000" w:themeColor="text1"/>
                <w:sz w:val="24"/>
                <w:lang w:val="zh-CN"/>
              </w:rPr>
              <w:t>项目名称</w:t>
            </w:r>
          </w:p>
        </w:tc>
        <w:tc>
          <w:tcPr>
            <w:tcW w:w="2930" w:type="dxa"/>
            <w:vAlign w:val="center"/>
          </w:tcPr>
          <w:p>
            <w:pPr>
              <w:tabs>
                <w:tab w:val="left" w:pos="2670"/>
              </w:tabs>
              <w:adjustRightInd w:val="0"/>
              <w:spacing w:line="360" w:lineRule="auto"/>
              <w:jc w:val="center"/>
              <w:rPr>
                <w:rFonts w:ascii="宋体"/>
                <w:b/>
                <w:bCs/>
                <w:color w:val="000000" w:themeColor="text1"/>
                <w:sz w:val="24"/>
                <w:lang w:val="zh-CN"/>
              </w:rPr>
            </w:pPr>
            <w:r>
              <w:rPr>
                <w:rFonts w:hint="eastAsia" w:ascii="宋体" w:hAnsi="宋体" w:cs="宋体"/>
                <w:b/>
                <w:bCs/>
                <w:color w:val="000000" w:themeColor="text1"/>
                <w:sz w:val="24"/>
              </w:rPr>
              <w:t>国家规定的</w:t>
            </w:r>
            <w:r>
              <w:rPr>
                <w:rFonts w:hint="eastAsia" w:ascii="宋体" w:hAnsi="宋体" w:cs="宋体"/>
                <w:b/>
                <w:bCs/>
                <w:color w:val="000000" w:themeColor="text1"/>
                <w:sz w:val="24"/>
                <w:lang w:val="zh-CN"/>
              </w:rPr>
              <w:t>存款基准利率</w:t>
            </w:r>
          </w:p>
        </w:tc>
        <w:tc>
          <w:tcPr>
            <w:tcW w:w="1948" w:type="dxa"/>
            <w:vAlign w:val="center"/>
          </w:tcPr>
          <w:p>
            <w:pPr>
              <w:tabs>
                <w:tab w:val="left" w:pos="2670"/>
              </w:tabs>
              <w:adjustRightInd w:val="0"/>
              <w:spacing w:line="360" w:lineRule="auto"/>
              <w:jc w:val="center"/>
              <w:rPr>
                <w:rFonts w:ascii="宋体"/>
                <w:b/>
                <w:bCs/>
                <w:color w:val="000000" w:themeColor="text1"/>
                <w:sz w:val="24"/>
              </w:rPr>
            </w:pPr>
            <w:r>
              <w:rPr>
                <w:rFonts w:hint="eastAsia" w:ascii="宋体" w:hAnsi="宋体" w:cs="宋体"/>
                <w:b/>
                <w:bCs/>
                <w:color w:val="000000" w:themeColor="text1"/>
                <w:sz w:val="24"/>
              </w:rPr>
              <w:t>加点值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3894" w:type="dxa"/>
            <w:vMerge w:val="restart"/>
            <w:vAlign w:val="center"/>
          </w:tcPr>
          <w:p>
            <w:pPr>
              <w:tabs>
                <w:tab w:val="left" w:pos="2670"/>
              </w:tabs>
              <w:adjustRightInd w:val="0"/>
              <w:spacing w:line="360" w:lineRule="auto"/>
              <w:jc w:val="center"/>
              <w:rPr>
                <w:rFonts w:ascii="宋体"/>
                <w:color w:val="000000" w:themeColor="text1"/>
                <w:sz w:val="24"/>
                <w:lang w:val="zh-CN"/>
              </w:rPr>
            </w:pPr>
            <w:r>
              <w:rPr>
                <w:rFonts w:hint="eastAsia" w:ascii="宋体"/>
                <w:color w:val="000000" w:themeColor="text1"/>
                <w:sz w:val="24"/>
                <w:lang w:val="zh-CN"/>
              </w:rPr>
              <w:t>建德市规划和自然资源局土地出让交易保证金账户开户银行项目</w:t>
            </w:r>
          </w:p>
        </w:tc>
        <w:tc>
          <w:tcPr>
            <w:tcW w:w="2930" w:type="dxa"/>
            <w:vAlign w:val="center"/>
          </w:tcPr>
          <w:p>
            <w:pPr>
              <w:tabs>
                <w:tab w:val="left" w:pos="2670"/>
              </w:tabs>
              <w:adjustRightInd w:val="0"/>
              <w:spacing w:line="360" w:lineRule="auto"/>
              <w:jc w:val="center"/>
              <w:rPr>
                <w:rFonts w:ascii="宋体"/>
                <w:color w:val="000000" w:themeColor="text1"/>
                <w:sz w:val="24"/>
                <w:lang w:val="zh-CN"/>
              </w:rPr>
            </w:pPr>
            <w:r>
              <w:rPr>
                <w:rFonts w:hint="eastAsia" w:ascii="宋体" w:hAnsi="宋体" w:cs="宋体"/>
                <w:color w:val="000000" w:themeColor="text1"/>
                <w:sz w:val="24"/>
                <w:lang w:val="en-US" w:eastAsia="zh-CN"/>
              </w:rPr>
              <w:t>活期</w:t>
            </w:r>
            <w:r>
              <w:rPr>
                <w:rFonts w:hint="eastAsia" w:ascii="宋体" w:hAnsi="宋体" w:cs="宋体"/>
                <w:color w:val="000000" w:themeColor="text1"/>
                <w:sz w:val="24"/>
                <w:lang w:val="zh-CN"/>
              </w:rPr>
              <w:t>存款利率</w:t>
            </w:r>
          </w:p>
        </w:tc>
        <w:tc>
          <w:tcPr>
            <w:tcW w:w="1948" w:type="dxa"/>
            <w:vAlign w:val="center"/>
          </w:tcPr>
          <w:p>
            <w:pPr>
              <w:tabs>
                <w:tab w:val="left" w:pos="2670"/>
              </w:tabs>
              <w:adjustRightInd w:val="0"/>
              <w:spacing w:line="360" w:lineRule="auto"/>
              <w:jc w:val="both"/>
              <w:rPr>
                <w:rFonts w:ascii="宋体"/>
                <w:b/>
                <w:bCs/>
                <w:color w:val="000000" w:themeColor="text1"/>
                <w:sz w:val="24"/>
                <w:lang w:val="zh-CN"/>
              </w:rPr>
            </w:pPr>
            <w:r>
              <w:rPr>
                <w:rFonts w:hint="eastAsia" w:ascii="仿宋" w:hAnsi="仿宋" w:eastAsia="仿宋" w:cs="仿宋"/>
                <w:b w:val="0"/>
                <w:color w:val="auto"/>
                <w:w w:val="100"/>
                <w:sz w:val="28"/>
                <w:highlight w:val="none"/>
                <w:lang w:eastAsia="zh-CN"/>
              </w:rPr>
              <w:t>（±</w:t>
            </w:r>
            <w:r>
              <w:rPr>
                <w:rFonts w:hint="eastAsia" w:ascii="仿宋" w:hAnsi="仿宋" w:eastAsia="仿宋" w:cs="仿宋"/>
                <w:b w:val="0"/>
                <w:color w:val="auto"/>
                <w:w w:val="100"/>
                <w:sz w:val="28"/>
                <w:highlight w:val="none"/>
                <w:lang w:val="en-US" w:eastAsia="zh-CN"/>
              </w:rPr>
              <w:t>BP</w:t>
            </w:r>
            <w:r>
              <w:rPr>
                <w:rFonts w:hint="eastAsia" w:ascii="仿宋" w:hAnsi="仿宋" w:eastAsia="仿宋" w:cs="仿宋"/>
                <w:b w:val="0"/>
                <w:color w:val="auto"/>
                <w:w w:val="100"/>
                <w:sz w:val="28"/>
                <w:highlight w:val="none"/>
                <w:lang w:eastAsia="zh-CN"/>
              </w:rPr>
              <w:t>）</w:t>
            </w:r>
            <w:r>
              <w:rPr>
                <w:rFonts w:hint="eastAsia" w:ascii="宋体" w:hAnsi="宋体" w:cs="宋体"/>
                <w:color w:val="000000" w:themeColor="text1"/>
                <w:sz w:val="24"/>
              </w:rPr>
              <w:t>BP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3894" w:type="dxa"/>
            <w:vMerge w:val="continue"/>
            <w:vAlign w:val="center"/>
          </w:tcPr>
          <w:p>
            <w:pPr>
              <w:tabs>
                <w:tab w:val="left" w:pos="2670"/>
              </w:tabs>
              <w:adjustRightInd w:val="0"/>
              <w:spacing w:line="360" w:lineRule="auto"/>
              <w:jc w:val="center"/>
              <w:rPr>
                <w:rFonts w:hint="eastAsia" w:ascii="宋体"/>
                <w:color w:val="000000" w:themeColor="text1"/>
                <w:sz w:val="24"/>
                <w:lang w:val="zh-CN"/>
              </w:rPr>
            </w:pPr>
          </w:p>
        </w:tc>
        <w:tc>
          <w:tcPr>
            <w:tcW w:w="2930" w:type="dxa"/>
            <w:vAlign w:val="center"/>
          </w:tcPr>
          <w:p>
            <w:pPr>
              <w:tabs>
                <w:tab w:val="left" w:pos="2670"/>
              </w:tabs>
              <w:adjustRightInd w:val="0"/>
              <w:spacing w:line="360" w:lineRule="auto"/>
              <w:jc w:val="center"/>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协定</w:t>
            </w:r>
            <w:r>
              <w:rPr>
                <w:rFonts w:hint="eastAsia" w:ascii="宋体" w:hAnsi="宋体" w:cs="宋体"/>
                <w:color w:val="000000" w:themeColor="text1"/>
                <w:sz w:val="24"/>
                <w:lang w:val="zh-CN"/>
              </w:rPr>
              <w:t>存款利率</w:t>
            </w:r>
          </w:p>
        </w:tc>
        <w:tc>
          <w:tcPr>
            <w:tcW w:w="1948" w:type="dxa"/>
            <w:vAlign w:val="center"/>
          </w:tcPr>
          <w:p>
            <w:pPr>
              <w:tabs>
                <w:tab w:val="left" w:pos="2670"/>
              </w:tabs>
              <w:adjustRightInd w:val="0"/>
              <w:spacing w:line="360" w:lineRule="auto"/>
              <w:jc w:val="both"/>
              <w:rPr>
                <w:rFonts w:ascii="宋体"/>
                <w:b/>
                <w:bCs/>
                <w:color w:val="000000" w:themeColor="text1"/>
                <w:sz w:val="24"/>
                <w:lang w:val="zh-CN"/>
              </w:rPr>
            </w:pPr>
            <w:r>
              <w:rPr>
                <w:rFonts w:hint="eastAsia" w:ascii="仿宋" w:hAnsi="仿宋" w:eastAsia="仿宋" w:cs="仿宋"/>
                <w:b w:val="0"/>
                <w:color w:val="auto"/>
                <w:w w:val="100"/>
                <w:sz w:val="28"/>
                <w:highlight w:val="none"/>
                <w:lang w:eastAsia="zh-CN"/>
              </w:rPr>
              <w:t>（±</w:t>
            </w:r>
            <w:r>
              <w:rPr>
                <w:rFonts w:hint="eastAsia" w:ascii="仿宋" w:hAnsi="仿宋" w:eastAsia="仿宋" w:cs="仿宋"/>
                <w:b w:val="0"/>
                <w:color w:val="auto"/>
                <w:w w:val="100"/>
                <w:sz w:val="28"/>
                <w:highlight w:val="none"/>
                <w:lang w:val="en-US" w:eastAsia="zh-CN"/>
              </w:rPr>
              <w:t>BP</w:t>
            </w:r>
            <w:r>
              <w:rPr>
                <w:rFonts w:hint="eastAsia" w:ascii="仿宋" w:hAnsi="仿宋" w:eastAsia="仿宋" w:cs="仿宋"/>
                <w:b w:val="0"/>
                <w:color w:val="auto"/>
                <w:w w:val="100"/>
                <w:sz w:val="28"/>
                <w:highlight w:val="none"/>
                <w:lang w:eastAsia="zh-CN"/>
              </w:rPr>
              <w:t>）</w:t>
            </w:r>
            <w:r>
              <w:rPr>
                <w:rFonts w:hint="eastAsia" w:ascii="宋体" w:hAnsi="宋体" w:cs="宋体"/>
                <w:color w:val="000000" w:themeColor="text1"/>
                <w:sz w:val="24"/>
              </w:rPr>
              <w:t>BP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3894" w:type="dxa"/>
            <w:vMerge w:val="continue"/>
            <w:vAlign w:val="center"/>
          </w:tcPr>
          <w:p>
            <w:pPr>
              <w:tabs>
                <w:tab w:val="left" w:pos="2670"/>
              </w:tabs>
              <w:adjustRightInd w:val="0"/>
              <w:spacing w:line="360" w:lineRule="auto"/>
              <w:jc w:val="center"/>
              <w:rPr>
                <w:rFonts w:ascii="宋体"/>
                <w:color w:val="000000" w:themeColor="text1"/>
                <w:sz w:val="24"/>
                <w:lang w:val="zh-CN"/>
              </w:rPr>
            </w:pPr>
          </w:p>
        </w:tc>
        <w:tc>
          <w:tcPr>
            <w:tcW w:w="2930" w:type="dxa"/>
            <w:vAlign w:val="center"/>
          </w:tcPr>
          <w:p>
            <w:pPr>
              <w:tabs>
                <w:tab w:val="left" w:pos="2670"/>
              </w:tabs>
              <w:adjustRightInd w:val="0"/>
              <w:spacing w:line="360" w:lineRule="auto"/>
              <w:jc w:val="center"/>
              <w:rPr>
                <w:rFonts w:ascii="宋体"/>
                <w:color w:val="000000" w:themeColor="text1"/>
                <w:sz w:val="24"/>
                <w:lang w:val="zh-CN"/>
              </w:rPr>
            </w:pPr>
            <w:r>
              <w:rPr>
                <w:rFonts w:hint="eastAsia" w:ascii="宋体" w:hAnsi="宋体" w:cs="宋体"/>
                <w:color w:val="000000" w:themeColor="text1"/>
                <w:sz w:val="24"/>
                <w:lang w:val="zh-CN"/>
              </w:rPr>
              <w:t>一年期定期存款利率</w:t>
            </w:r>
          </w:p>
        </w:tc>
        <w:tc>
          <w:tcPr>
            <w:tcW w:w="1948" w:type="dxa"/>
            <w:vAlign w:val="center"/>
          </w:tcPr>
          <w:p>
            <w:pPr>
              <w:tabs>
                <w:tab w:val="left" w:pos="2670"/>
              </w:tabs>
              <w:adjustRightInd w:val="0"/>
              <w:spacing w:line="360" w:lineRule="auto"/>
              <w:jc w:val="both"/>
              <w:rPr>
                <w:rFonts w:ascii="宋体"/>
                <w:b/>
                <w:bCs/>
                <w:color w:val="000000" w:themeColor="text1"/>
                <w:sz w:val="24"/>
                <w:lang w:val="zh-CN"/>
              </w:rPr>
            </w:pPr>
            <w:r>
              <w:rPr>
                <w:rFonts w:hint="eastAsia" w:ascii="仿宋" w:hAnsi="仿宋" w:eastAsia="仿宋" w:cs="仿宋"/>
                <w:b w:val="0"/>
                <w:color w:val="auto"/>
                <w:w w:val="100"/>
                <w:sz w:val="28"/>
                <w:highlight w:val="none"/>
                <w:lang w:eastAsia="zh-CN"/>
              </w:rPr>
              <w:t>（±</w:t>
            </w:r>
            <w:r>
              <w:rPr>
                <w:rFonts w:hint="eastAsia" w:ascii="仿宋" w:hAnsi="仿宋" w:eastAsia="仿宋" w:cs="仿宋"/>
                <w:b w:val="0"/>
                <w:color w:val="auto"/>
                <w:w w:val="100"/>
                <w:sz w:val="28"/>
                <w:highlight w:val="none"/>
                <w:lang w:val="en-US" w:eastAsia="zh-CN"/>
              </w:rPr>
              <w:t>BP</w:t>
            </w:r>
            <w:r>
              <w:rPr>
                <w:rFonts w:hint="eastAsia" w:ascii="仿宋" w:hAnsi="仿宋" w:eastAsia="仿宋" w:cs="仿宋"/>
                <w:b w:val="0"/>
                <w:color w:val="auto"/>
                <w:w w:val="100"/>
                <w:sz w:val="28"/>
                <w:highlight w:val="none"/>
                <w:lang w:eastAsia="zh-CN"/>
              </w:rPr>
              <w:t>）</w:t>
            </w:r>
            <w:r>
              <w:rPr>
                <w:rFonts w:hint="eastAsia" w:ascii="宋体" w:hAnsi="宋体" w:cs="宋体"/>
                <w:color w:val="000000" w:themeColor="text1"/>
                <w:sz w:val="24"/>
              </w:rPr>
              <w:t>BP</w:t>
            </w:r>
          </w:p>
        </w:tc>
      </w:tr>
    </w:tbl>
    <w:p>
      <w:pPr>
        <w:spacing w:line="360" w:lineRule="auto"/>
        <w:rPr>
          <w:rFonts w:ascii="宋体" w:hAnsi="宋体"/>
          <w:b/>
          <w:bCs/>
          <w:color w:val="000000" w:themeColor="text1"/>
          <w:sz w:val="28"/>
          <w:szCs w:val="28"/>
        </w:rPr>
      </w:pPr>
    </w:p>
    <w:p>
      <w:pPr>
        <w:spacing w:line="360" w:lineRule="auto"/>
        <w:rPr>
          <w:rFonts w:ascii="宋体" w:hAnsi="宋体"/>
          <w:color w:val="000000" w:themeColor="text1"/>
          <w:sz w:val="24"/>
        </w:rPr>
      </w:pPr>
      <w:r>
        <w:rPr>
          <w:rFonts w:hint="eastAsia" w:ascii="宋体" w:hAnsi="宋体"/>
          <w:color w:val="000000" w:themeColor="text1"/>
          <w:sz w:val="24"/>
        </w:rPr>
        <w:t>注：</w:t>
      </w:r>
    </w:p>
    <w:p>
      <w:pPr>
        <w:numPr>
          <w:ilvl w:val="0"/>
          <w:numId w:val="13"/>
        </w:numPr>
        <w:spacing w:line="360" w:lineRule="auto"/>
        <w:rPr>
          <w:rFonts w:ascii="宋体" w:hAnsi="宋体"/>
          <w:color w:val="000000" w:themeColor="text1"/>
          <w:sz w:val="24"/>
        </w:rPr>
      </w:pPr>
      <w:r>
        <w:rPr>
          <w:rFonts w:hint="eastAsia" w:ascii="宋体" w:hAnsi="宋体"/>
          <w:color w:val="000000" w:themeColor="text1"/>
          <w:sz w:val="24"/>
        </w:rPr>
        <w:t>以上数据保留小数点后2位。</w:t>
      </w:r>
    </w:p>
    <w:p>
      <w:pPr>
        <w:spacing w:line="360" w:lineRule="auto"/>
        <w:rPr>
          <w:rFonts w:ascii="宋体" w:hAnsi="宋体"/>
          <w:color w:val="000000" w:themeColor="text1"/>
          <w:sz w:val="28"/>
          <w:szCs w:val="28"/>
        </w:rPr>
      </w:pPr>
    </w:p>
    <w:p>
      <w:pPr>
        <w:spacing w:line="360" w:lineRule="auto"/>
        <w:rPr>
          <w:rFonts w:ascii="宋体" w:hAnsi="宋体"/>
          <w:color w:val="000000" w:themeColor="text1"/>
          <w:sz w:val="24"/>
        </w:rPr>
      </w:pPr>
    </w:p>
    <w:p>
      <w:pPr>
        <w:spacing w:line="360" w:lineRule="auto"/>
        <w:rPr>
          <w:rFonts w:ascii="宋体" w:hAnsi="宋体"/>
          <w:color w:val="000000" w:themeColor="text1"/>
          <w:sz w:val="24"/>
          <w:u w:val="single"/>
        </w:rPr>
      </w:pPr>
      <w:r>
        <w:rPr>
          <w:rFonts w:ascii="宋体" w:hAnsi="宋体"/>
          <w:color w:val="000000" w:themeColor="text1"/>
          <w:sz w:val="24"/>
        </w:rPr>
        <w:t>投标人（盖章）</w:t>
      </w:r>
    </w:p>
    <w:p>
      <w:pPr>
        <w:spacing w:line="360" w:lineRule="auto"/>
        <w:rPr>
          <w:rFonts w:ascii="宋体" w:hAnsi="宋体"/>
          <w:color w:val="000000" w:themeColor="text1"/>
          <w:sz w:val="24"/>
        </w:rPr>
      </w:pPr>
    </w:p>
    <w:p>
      <w:pPr>
        <w:spacing w:line="360" w:lineRule="auto"/>
        <w:rPr>
          <w:rFonts w:ascii="宋体" w:hAnsi="宋体"/>
          <w:color w:val="000000" w:themeColor="text1"/>
          <w:sz w:val="24"/>
          <w:u w:val="single"/>
        </w:rPr>
      </w:pPr>
      <w:r>
        <w:rPr>
          <w:rFonts w:ascii="宋体" w:hAnsi="宋体"/>
          <w:color w:val="000000" w:themeColor="text1"/>
          <w:sz w:val="24"/>
        </w:rPr>
        <w:t>法定代表人</w:t>
      </w:r>
      <w:r>
        <w:rPr>
          <w:rFonts w:hint="eastAsia" w:ascii="宋体" w:hAnsi="宋体"/>
          <w:color w:val="000000" w:themeColor="text1"/>
          <w:sz w:val="24"/>
        </w:rPr>
        <w:t>（分行负责人）</w:t>
      </w:r>
      <w:r>
        <w:rPr>
          <w:rFonts w:ascii="宋体" w:hAnsi="宋体"/>
          <w:color w:val="000000" w:themeColor="text1"/>
          <w:sz w:val="24"/>
        </w:rPr>
        <w:t>或授权委托代理人（签字）</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ascii="宋体" w:hAnsi="宋体"/>
          <w:color w:val="000000" w:themeColor="text1"/>
          <w:sz w:val="24"/>
        </w:rPr>
        <w:t>日期：    年    月    日</w:t>
      </w:r>
    </w:p>
    <w:p>
      <w:pPr>
        <w:spacing w:line="360" w:lineRule="auto"/>
        <w:rPr>
          <w:rFonts w:ascii="宋体" w:hAnsi="宋体"/>
          <w:color w:val="000000" w:themeColor="text1"/>
          <w:sz w:val="24"/>
        </w:rPr>
      </w:pPr>
      <w:r>
        <w:rPr>
          <w:rFonts w:ascii="宋体" w:hAnsi="宋体"/>
          <w:color w:val="000000" w:themeColor="text1"/>
          <w:sz w:val="24"/>
        </w:rPr>
        <w:br w:type="page"/>
      </w:r>
    </w:p>
    <w:p>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3.法定代表人授权书</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本授权书声明：我</w:t>
      </w:r>
      <w:r>
        <w:rPr>
          <w:rFonts w:hint="eastAsia" w:ascii="宋体" w:hAnsi="宋体"/>
          <w:color w:val="000000" w:themeColor="text1"/>
          <w:sz w:val="24"/>
          <w:u w:val="single"/>
        </w:rPr>
        <w:t>（姓名）</w:t>
      </w:r>
      <w:r>
        <w:rPr>
          <w:rFonts w:hint="eastAsia" w:ascii="宋体" w:hAnsi="宋体"/>
          <w:color w:val="000000" w:themeColor="text1"/>
          <w:sz w:val="24"/>
        </w:rPr>
        <w:t>系注册于</w:t>
      </w:r>
      <w:r>
        <w:rPr>
          <w:rFonts w:hint="eastAsia" w:ascii="宋体" w:hAnsi="宋体"/>
          <w:color w:val="000000" w:themeColor="text1"/>
          <w:sz w:val="24"/>
          <w:u w:val="single"/>
        </w:rPr>
        <w:t>（单位地址）</w:t>
      </w:r>
      <w:r>
        <w:rPr>
          <w:rFonts w:hint="eastAsia" w:ascii="宋体" w:hAnsi="宋体"/>
          <w:color w:val="000000" w:themeColor="text1"/>
          <w:sz w:val="24"/>
        </w:rPr>
        <w:t>的</w:t>
      </w:r>
      <w:r>
        <w:rPr>
          <w:rFonts w:hint="eastAsia" w:ascii="宋体" w:hAnsi="宋体"/>
          <w:color w:val="000000" w:themeColor="text1"/>
          <w:sz w:val="24"/>
          <w:u w:val="single"/>
        </w:rPr>
        <w:t>（投标人名称）</w:t>
      </w:r>
      <w:r>
        <w:rPr>
          <w:rFonts w:hint="eastAsia" w:ascii="宋体" w:hAnsi="宋体"/>
          <w:color w:val="000000" w:themeColor="text1"/>
          <w:sz w:val="24"/>
        </w:rPr>
        <w:t>的法定代表人（或负责人），现授权委托</w:t>
      </w:r>
      <w:r>
        <w:rPr>
          <w:rFonts w:hint="eastAsia" w:ascii="宋体" w:hAnsi="宋体"/>
          <w:color w:val="000000" w:themeColor="text1"/>
          <w:sz w:val="24"/>
          <w:u w:val="single"/>
        </w:rPr>
        <w:t>（被授权人姓名、职务）</w:t>
      </w:r>
      <w:r>
        <w:rPr>
          <w:rFonts w:hint="eastAsia" w:ascii="宋体" w:hAnsi="宋体"/>
          <w:color w:val="000000" w:themeColor="text1"/>
          <w:sz w:val="24"/>
        </w:rPr>
        <w:t>为我行的合法代理人，以本行的名义参加</w:t>
      </w:r>
      <w:r>
        <w:rPr>
          <w:rFonts w:hint="eastAsia" w:ascii="宋体" w:hAnsi="宋体"/>
          <w:color w:val="000000" w:themeColor="text1"/>
          <w:sz w:val="24"/>
          <w:u w:val="single"/>
        </w:rPr>
        <w:t>（项目名称）</w:t>
      </w:r>
      <w:r>
        <w:rPr>
          <w:rFonts w:hint="eastAsia" w:ascii="宋体" w:hAnsi="宋体"/>
          <w:color w:val="000000" w:themeColor="text1"/>
          <w:sz w:val="24"/>
        </w:rPr>
        <w:t>的投标活动。代理人在参与投标过程中所签署的一切文件和处理与之有关的一切事务，我行均予以承认。</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本授权书于   年  月  日签字生效。特此声明。</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投标人名称（公章）：</w:t>
      </w:r>
    </w:p>
    <w:p>
      <w:pPr>
        <w:spacing w:line="360" w:lineRule="auto"/>
        <w:rPr>
          <w:rFonts w:ascii="宋体" w:hAnsi="宋体"/>
          <w:color w:val="000000" w:themeColor="text1"/>
          <w:sz w:val="24"/>
        </w:rPr>
      </w:pPr>
      <w:r>
        <w:rPr>
          <w:rFonts w:hint="eastAsia" w:ascii="宋体" w:hAnsi="宋体"/>
          <w:color w:val="000000" w:themeColor="text1"/>
          <w:sz w:val="24"/>
        </w:rPr>
        <w:t>法定代表人（或分行负责人）签字或签字章：</w:t>
      </w:r>
    </w:p>
    <w:p>
      <w:pPr>
        <w:spacing w:line="360" w:lineRule="auto"/>
        <w:rPr>
          <w:rFonts w:ascii="宋体" w:hAnsi="宋体"/>
          <w:color w:val="000000" w:themeColor="text1"/>
          <w:sz w:val="24"/>
          <w:u w:val="single"/>
        </w:rPr>
      </w:pPr>
      <w:r>
        <w:rPr>
          <w:rFonts w:hint="eastAsia" w:ascii="宋体" w:hAnsi="宋体"/>
          <w:color w:val="000000" w:themeColor="text1"/>
          <w:sz w:val="24"/>
        </w:rPr>
        <w:t>授权代表签字：</w:t>
      </w:r>
    </w:p>
    <w:p>
      <w:pPr>
        <w:spacing w:line="360" w:lineRule="auto"/>
        <w:rPr>
          <w:rFonts w:ascii="宋体" w:hAnsi="宋体"/>
          <w:color w:val="000000" w:themeColor="text1"/>
          <w:sz w:val="28"/>
          <w:szCs w:val="28"/>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jc w:val="center"/>
        <w:rPr>
          <w:rFonts w:ascii="宋体" w:hAnsi="宋体"/>
          <w:b/>
          <w:color w:val="000000" w:themeColor="text1"/>
          <w:sz w:val="28"/>
          <w:szCs w:val="28"/>
        </w:rPr>
      </w:pPr>
      <w:r>
        <w:rPr>
          <w:rFonts w:ascii="宋体" w:hAnsi="宋体"/>
          <w:b/>
          <w:color w:val="000000" w:themeColor="text1"/>
          <w:sz w:val="24"/>
        </w:rPr>
        <w:br w:type="column"/>
      </w:r>
      <w:r>
        <w:rPr>
          <w:rFonts w:hint="eastAsia" w:ascii="宋体" w:hAnsi="宋体"/>
          <w:b/>
          <w:color w:val="000000" w:themeColor="text1"/>
          <w:sz w:val="28"/>
          <w:szCs w:val="28"/>
        </w:rPr>
        <w:t>4.投标人基本情况声明</w:t>
      </w:r>
    </w:p>
    <w:p>
      <w:pPr>
        <w:numPr>
          <w:ilvl w:val="0"/>
          <w:numId w:val="14"/>
        </w:numPr>
        <w:spacing w:line="360" w:lineRule="auto"/>
        <w:rPr>
          <w:rFonts w:ascii="宋体" w:hAnsi="宋体"/>
          <w:color w:val="000000" w:themeColor="text1"/>
          <w:sz w:val="24"/>
        </w:rPr>
      </w:pPr>
      <w:r>
        <w:rPr>
          <w:rFonts w:hint="eastAsia" w:ascii="宋体" w:hAnsi="宋体"/>
          <w:color w:val="000000" w:themeColor="text1"/>
          <w:sz w:val="24"/>
        </w:rPr>
        <w:t>名称及其它资料：</w:t>
      </w:r>
    </w:p>
    <w:p>
      <w:pPr>
        <w:numPr>
          <w:ilvl w:val="0"/>
          <w:numId w:val="15"/>
        </w:numPr>
        <w:spacing w:line="360" w:lineRule="auto"/>
        <w:rPr>
          <w:rFonts w:ascii="宋体" w:hAnsi="宋体"/>
          <w:color w:val="000000" w:themeColor="text1"/>
          <w:sz w:val="24"/>
        </w:rPr>
      </w:pPr>
      <w:r>
        <w:rPr>
          <w:rFonts w:hint="eastAsia" w:ascii="宋体" w:hAnsi="宋体"/>
          <w:color w:val="000000" w:themeColor="text1"/>
          <w:sz w:val="24"/>
        </w:rPr>
        <w:t>银行名称：</w:t>
      </w:r>
    </w:p>
    <w:p>
      <w:pPr>
        <w:numPr>
          <w:ilvl w:val="0"/>
          <w:numId w:val="15"/>
        </w:numPr>
        <w:spacing w:line="360" w:lineRule="auto"/>
        <w:rPr>
          <w:rFonts w:ascii="宋体" w:hAnsi="宋体"/>
          <w:color w:val="000000" w:themeColor="text1"/>
          <w:sz w:val="24"/>
        </w:rPr>
      </w:pPr>
      <w:r>
        <w:rPr>
          <w:rFonts w:hint="eastAsia" w:ascii="宋体" w:hAnsi="宋体"/>
          <w:color w:val="000000" w:themeColor="text1"/>
          <w:sz w:val="24"/>
        </w:rPr>
        <w:t>地址：</w:t>
      </w:r>
    </w:p>
    <w:p>
      <w:pPr>
        <w:numPr>
          <w:ilvl w:val="0"/>
          <w:numId w:val="15"/>
        </w:numPr>
        <w:spacing w:line="360" w:lineRule="auto"/>
        <w:rPr>
          <w:rFonts w:ascii="宋体" w:hAnsi="宋体"/>
          <w:color w:val="000000" w:themeColor="text1"/>
          <w:sz w:val="24"/>
        </w:rPr>
      </w:pPr>
      <w:r>
        <w:rPr>
          <w:rFonts w:hint="eastAsia" w:ascii="宋体" w:hAnsi="宋体"/>
          <w:color w:val="000000" w:themeColor="text1"/>
          <w:sz w:val="24"/>
        </w:rPr>
        <w:t>邮编：</w:t>
      </w:r>
    </w:p>
    <w:p>
      <w:pPr>
        <w:numPr>
          <w:ilvl w:val="0"/>
          <w:numId w:val="15"/>
        </w:numPr>
        <w:spacing w:line="360" w:lineRule="auto"/>
        <w:rPr>
          <w:rFonts w:ascii="宋体" w:hAnsi="宋体"/>
          <w:color w:val="000000" w:themeColor="text1"/>
          <w:sz w:val="24"/>
        </w:rPr>
      </w:pPr>
      <w:r>
        <w:rPr>
          <w:rFonts w:hint="eastAsia" w:ascii="宋体" w:hAnsi="宋体"/>
          <w:color w:val="000000" w:themeColor="text1"/>
          <w:sz w:val="24"/>
        </w:rPr>
        <w:t>电话/传真：</w:t>
      </w:r>
    </w:p>
    <w:p>
      <w:pPr>
        <w:numPr>
          <w:ilvl w:val="0"/>
          <w:numId w:val="15"/>
        </w:numPr>
        <w:spacing w:line="360" w:lineRule="auto"/>
        <w:rPr>
          <w:rFonts w:ascii="宋体" w:hAnsi="宋体"/>
          <w:color w:val="000000" w:themeColor="text1"/>
          <w:sz w:val="24"/>
        </w:rPr>
      </w:pPr>
      <w:r>
        <w:rPr>
          <w:rFonts w:hint="eastAsia" w:ascii="宋体" w:hAnsi="宋体"/>
          <w:color w:val="000000" w:themeColor="text1"/>
          <w:sz w:val="24"/>
        </w:rPr>
        <w:t>成立日期或注册日期：</w:t>
      </w:r>
    </w:p>
    <w:p>
      <w:pPr>
        <w:numPr>
          <w:ilvl w:val="0"/>
          <w:numId w:val="15"/>
        </w:numPr>
        <w:spacing w:line="360" w:lineRule="auto"/>
        <w:rPr>
          <w:rFonts w:ascii="宋体" w:hAnsi="宋体"/>
          <w:color w:val="000000" w:themeColor="text1"/>
          <w:sz w:val="24"/>
        </w:rPr>
      </w:pPr>
      <w:r>
        <w:rPr>
          <w:rFonts w:hint="eastAsia" w:ascii="宋体" w:hAnsi="宋体"/>
          <w:color w:val="000000" w:themeColor="text1"/>
          <w:sz w:val="24"/>
        </w:rPr>
        <w:t>主要负责人姓名：</w:t>
      </w:r>
    </w:p>
    <w:p>
      <w:pPr>
        <w:numPr>
          <w:ilvl w:val="0"/>
          <w:numId w:val="15"/>
        </w:numPr>
        <w:spacing w:line="360" w:lineRule="auto"/>
        <w:rPr>
          <w:rFonts w:ascii="宋体" w:hAnsi="宋体"/>
          <w:color w:val="000000" w:themeColor="text1"/>
          <w:sz w:val="24"/>
        </w:rPr>
      </w:pPr>
      <w:r>
        <w:rPr>
          <w:rFonts w:hint="eastAsia" w:ascii="宋体" w:hAnsi="宋体"/>
          <w:color w:val="000000" w:themeColor="text1"/>
          <w:sz w:val="24"/>
        </w:rPr>
        <w:t>经营特色：</w:t>
      </w:r>
    </w:p>
    <w:p>
      <w:pPr>
        <w:spacing w:line="360" w:lineRule="auto"/>
        <w:rPr>
          <w:rFonts w:ascii="宋体" w:hAnsi="宋体"/>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二</w:t>
      </w:r>
      <w:r>
        <w:rPr>
          <w:rFonts w:hint="eastAsia" w:ascii="宋体" w:hAnsi="宋体"/>
          <w:color w:val="000000" w:themeColor="text1"/>
          <w:sz w:val="24"/>
        </w:rPr>
        <w:t>）、近三年银行代理的主要政府部门业务；</w:t>
      </w:r>
    </w:p>
    <w:p>
      <w:pPr>
        <w:spacing w:line="360" w:lineRule="auto"/>
        <w:rPr>
          <w:rFonts w:ascii="宋体" w:hAnsi="宋体"/>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三</w:t>
      </w:r>
      <w:r>
        <w:rPr>
          <w:rFonts w:hint="eastAsia" w:ascii="宋体" w:hAnsi="宋体"/>
          <w:color w:val="000000" w:themeColor="text1"/>
          <w:sz w:val="24"/>
        </w:rPr>
        <w:t>）、其他情况（年表、组织、机构等）。</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就我方全部所知，兹证明上述表明是真实、准确的，并已提供了全部现有资料和数据，我方同意根据招标方要求出示文件予以证实。</w:t>
      </w:r>
    </w:p>
    <w:p>
      <w:pPr>
        <w:spacing w:line="360" w:lineRule="auto"/>
        <w:ind w:firstLine="480" w:firstLineChars="200"/>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银 行 名 称（盖章）：</w:t>
      </w:r>
    </w:p>
    <w:p>
      <w:pPr>
        <w:spacing w:line="360" w:lineRule="auto"/>
        <w:rPr>
          <w:rFonts w:ascii="宋体" w:hAnsi="宋体"/>
          <w:color w:val="000000" w:themeColor="text1"/>
          <w:sz w:val="24"/>
        </w:rPr>
      </w:pPr>
      <w:r>
        <w:rPr>
          <w:rFonts w:hint="eastAsia" w:ascii="宋体" w:hAnsi="宋体"/>
          <w:color w:val="000000" w:themeColor="text1"/>
          <w:sz w:val="24"/>
        </w:rPr>
        <w:t>授权代表签字：</w:t>
      </w:r>
    </w:p>
    <w:p>
      <w:pPr>
        <w:spacing w:line="360" w:lineRule="auto"/>
        <w:rPr>
          <w:rFonts w:ascii="宋体" w:hAnsi="宋体"/>
          <w:color w:val="000000" w:themeColor="text1"/>
          <w:sz w:val="24"/>
          <w:u w:val="single"/>
        </w:rPr>
      </w:pPr>
      <w:r>
        <w:rPr>
          <w:rFonts w:hint="eastAsia" w:ascii="宋体" w:hAnsi="宋体"/>
          <w:color w:val="000000" w:themeColor="text1"/>
          <w:sz w:val="24"/>
        </w:rPr>
        <w:t>日        期：</w:t>
      </w:r>
    </w:p>
    <w:p>
      <w:pPr>
        <w:spacing w:line="360" w:lineRule="auto"/>
        <w:rPr>
          <w:rFonts w:ascii="宋体" w:hAnsi="宋体"/>
          <w:color w:val="000000" w:themeColor="text1"/>
          <w:sz w:val="28"/>
          <w:szCs w:val="28"/>
        </w:rPr>
      </w:pPr>
    </w:p>
    <w:p>
      <w:pPr>
        <w:spacing w:line="360" w:lineRule="auto"/>
        <w:jc w:val="center"/>
        <w:rPr>
          <w:rFonts w:ascii="宋体" w:hAnsi="宋体"/>
          <w:b/>
          <w:color w:val="000000" w:themeColor="text1"/>
          <w:sz w:val="28"/>
          <w:szCs w:val="28"/>
        </w:rPr>
      </w:pPr>
      <w:r>
        <w:rPr>
          <w:rFonts w:ascii="宋体" w:hAnsi="宋体"/>
          <w:b/>
          <w:color w:val="000000" w:themeColor="text1"/>
          <w:sz w:val="28"/>
          <w:szCs w:val="28"/>
        </w:rPr>
        <w:br w:type="column"/>
      </w:r>
      <w:r>
        <w:rPr>
          <w:rFonts w:hint="eastAsia" w:ascii="宋体" w:hAnsi="宋体"/>
          <w:b/>
          <w:color w:val="000000" w:themeColor="text1"/>
          <w:sz w:val="28"/>
          <w:szCs w:val="28"/>
        </w:rPr>
        <w:t>5.投标人资格证明文件</w:t>
      </w:r>
    </w:p>
    <w:p>
      <w:pPr>
        <w:spacing w:line="360" w:lineRule="auto"/>
        <w:rPr>
          <w:rFonts w:ascii="宋体" w:hAnsi="宋体"/>
          <w:b/>
          <w:color w:val="000000" w:themeColor="text1"/>
          <w:sz w:val="28"/>
          <w:szCs w:val="28"/>
        </w:rPr>
      </w:pPr>
    </w:p>
    <w:p>
      <w:pPr>
        <w:spacing w:line="360"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投标人应提供下列文件或资料（复印件、加盖公章）：</w:t>
      </w:r>
    </w:p>
    <w:p>
      <w:pPr>
        <w:numPr>
          <w:ilvl w:val="0"/>
          <w:numId w:val="16"/>
        </w:numPr>
        <w:spacing w:line="360" w:lineRule="auto"/>
        <w:ind w:firstLine="0"/>
        <w:rPr>
          <w:rFonts w:ascii="宋体" w:hAnsi="宋体"/>
          <w:color w:val="000000" w:themeColor="text1"/>
          <w:sz w:val="28"/>
          <w:szCs w:val="28"/>
        </w:rPr>
      </w:pPr>
      <w:r>
        <w:rPr>
          <w:rFonts w:hint="eastAsia" w:ascii="宋体" w:hAnsi="宋体"/>
          <w:color w:val="000000" w:themeColor="text1"/>
          <w:sz w:val="28"/>
          <w:szCs w:val="28"/>
        </w:rPr>
        <w:t>银监局核发的金融许可证；</w:t>
      </w:r>
    </w:p>
    <w:p>
      <w:pPr>
        <w:numPr>
          <w:ilvl w:val="0"/>
          <w:numId w:val="16"/>
        </w:numPr>
        <w:spacing w:line="360" w:lineRule="auto"/>
        <w:ind w:firstLine="0"/>
        <w:rPr>
          <w:rFonts w:ascii="宋体" w:hAnsi="宋体"/>
          <w:color w:val="000000" w:themeColor="text1"/>
          <w:sz w:val="28"/>
          <w:szCs w:val="28"/>
        </w:rPr>
      </w:pPr>
      <w:r>
        <w:rPr>
          <w:rFonts w:hint="eastAsia" w:ascii="宋体" w:hAnsi="宋体"/>
          <w:color w:val="000000" w:themeColor="text1"/>
          <w:sz w:val="28"/>
          <w:szCs w:val="28"/>
        </w:rPr>
        <w:t>工商行政管理部门颁布的营业执照；</w:t>
      </w:r>
    </w:p>
    <w:p>
      <w:pPr>
        <w:spacing w:line="360" w:lineRule="auto"/>
        <w:ind w:left="360"/>
        <w:rPr>
          <w:rFonts w:ascii="宋体" w:hAnsi="宋体"/>
          <w:color w:val="000000" w:themeColor="text1"/>
          <w:sz w:val="28"/>
          <w:szCs w:val="28"/>
        </w:rPr>
      </w:pPr>
    </w:p>
    <w:p>
      <w:pPr>
        <w:spacing w:line="360" w:lineRule="auto"/>
        <w:ind w:left="360"/>
        <w:rPr>
          <w:rFonts w:ascii="宋体" w:hAnsi="宋体"/>
          <w:color w:val="000000" w:themeColor="text1"/>
          <w:sz w:val="28"/>
          <w:szCs w:val="28"/>
        </w:rPr>
      </w:pPr>
    </w:p>
    <w:p>
      <w:pPr>
        <w:spacing w:line="360" w:lineRule="auto"/>
        <w:ind w:left="360"/>
        <w:rPr>
          <w:rFonts w:ascii="宋体" w:hAnsi="宋体"/>
          <w:color w:val="000000" w:themeColor="text1"/>
          <w:sz w:val="28"/>
          <w:szCs w:val="28"/>
        </w:rPr>
      </w:pPr>
    </w:p>
    <w:p>
      <w:pPr>
        <w:spacing w:line="360" w:lineRule="auto"/>
        <w:ind w:left="360"/>
        <w:rPr>
          <w:rFonts w:ascii="宋体" w:hAnsi="宋体"/>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ind w:left="1680" w:leftChars="800" w:firstLine="281" w:firstLineChars="100"/>
        <w:rPr>
          <w:rFonts w:ascii="宋体" w:hAnsi="宋体"/>
          <w:b/>
          <w:color w:val="000000" w:themeColor="text1"/>
          <w:sz w:val="28"/>
          <w:szCs w:val="28"/>
        </w:rPr>
      </w:pPr>
    </w:p>
    <w:p>
      <w:pPr>
        <w:spacing w:line="360" w:lineRule="auto"/>
        <w:jc w:val="center"/>
        <w:rPr>
          <w:rFonts w:ascii="宋体" w:hAnsi="宋体"/>
          <w:b/>
          <w:color w:val="000000" w:themeColor="text1"/>
          <w:sz w:val="28"/>
          <w:szCs w:val="28"/>
        </w:rPr>
      </w:pPr>
      <w:r>
        <w:rPr>
          <w:rFonts w:ascii="宋体" w:hAnsi="宋体"/>
          <w:b/>
          <w:color w:val="000000" w:themeColor="text1"/>
          <w:sz w:val="28"/>
          <w:szCs w:val="28"/>
        </w:rPr>
        <w:br w:type="column"/>
      </w:r>
      <w:r>
        <w:rPr>
          <w:rFonts w:hint="eastAsia" w:ascii="宋体" w:hAnsi="宋体"/>
          <w:b/>
          <w:color w:val="000000" w:themeColor="text1"/>
          <w:sz w:val="28"/>
          <w:szCs w:val="28"/>
        </w:rPr>
        <w:t>6.202</w:t>
      </w:r>
      <w:r>
        <w:rPr>
          <w:rFonts w:hint="eastAsia" w:ascii="宋体" w:hAnsi="宋体"/>
          <w:b/>
          <w:color w:val="000000" w:themeColor="text1"/>
          <w:sz w:val="28"/>
          <w:szCs w:val="28"/>
          <w:lang w:val="en-US" w:eastAsia="zh-CN"/>
        </w:rPr>
        <w:t>5</w:t>
      </w:r>
      <w:r>
        <w:rPr>
          <w:rFonts w:hint="eastAsia" w:ascii="宋体" w:hAnsi="宋体"/>
          <w:b/>
          <w:color w:val="000000" w:themeColor="text1"/>
          <w:sz w:val="28"/>
          <w:szCs w:val="28"/>
        </w:rPr>
        <w:t>年度资产负债表和损益表</w:t>
      </w:r>
    </w:p>
    <w:p>
      <w:pPr>
        <w:spacing w:line="360" w:lineRule="auto"/>
        <w:rPr>
          <w:rFonts w:ascii="宋体" w:hAnsi="宋体"/>
          <w:color w:val="000000" w:themeColor="text1"/>
          <w:sz w:val="28"/>
          <w:szCs w:val="28"/>
        </w:rPr>
      </w:pPr>
    </w:p>
    <w:p>
      <w:pPr>
        <w:spacing w:line="360" w:lineRule="auto"/>
        <w:rPr>
          <w:rFonts w:ascii="宋体" w:hAnsi="宋体"/>
          <w:color w:val="000000" w:themeColor="text1"/>
          <w:sz w:val="28"/>
          <w:szCs w:val="28"/>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ind w:firstLine="1200" w:firstLineChars="500"/>
        <w:rPr>
          <w:rFonts w:ascii="宋体" w:hAnsi="宋体"/>
          <w:color w:val="000000" w:themeColor="text1"/>
          <w:sz w:val="24"/>
        </w:rPr>
      </w:pPr>
    </w:p>
    <w:p>
      <w:pPr>
        <w:spacing w:line="360" w:lineRule="auto"/>
        <w:jc w:val="center"/>
        <w:rPr>
          <w:rFonts w:ascii="宋体" w:hAnsi="宋体"/>
          <w:color w:val="000000" w:themeColor="text1"/>
          <w:sz w:val="28"/>
          <w:szCs w:val="28"/>
        </w:rPr>
      </w:pPr>
      <w:r>
        <w:rPr>
          <w:rFonts w:ascii="宋体" w:hAnsi="宋体"/>
          <w:b/>
          <w:color w:val="000000" w:themeColor="text1"/>
          <w:sz w:val="24"/>
        </w:rPr>
        <w:br w:type="column"/>
      </w:r>
      <w:r>
        <w:rPr>
          <w:rFonts w:hint="eastAsia" w:ascii="宋体" w:hAnsi="宋体"/>
          <w:b/>
          <w:color w:val="000000" w:themeColor="text1"/>
          <w:sz w:val="28"/>
          <w:szCs w:val="28"/>
        </w:rPr>
        <w:t>7.根据第四章评分标准中的内容提供相应的资料</w:t>
      </w:r>
    </w:p>
    <w:p>
      <w:pPr>
        <w:spacing w:line="360" w:lineRule="auto"/>
        <w:rPr>
          <w:rFonts w:ascii="宋体" w:hAnsi="宋体"/>
          <w:color w:val="000000" w:themeColor="text1"/>
          <w:sz w:val="28"/>
          <w:szCs w:val="28"/>
        </w:rPr>
      </w:pPr>
      <w:r>
        <w:rPr>
          <w:rFonts w:hint="eastAsia" w:ascii="宋体" w:hAnsi="宋体"/>
          <w:b/>
          <w:color w:val="000000" w:themeColor="text1"/>
          <w:sz w:val="28"/>
          <w:szCs w:val="28"/>
          <w:lang w:val="en-US" w:eastAsia="zh-CN"/>
        </w:rPr>
        <w:t>1</w:t>
      </w:r>
      <w:r>
        <w:rPr>
          <w:rFonts w:hint="eastAsia" w:ascii="宋体" w:hAnsi="宋体"/>
          <w:b/>
          <w:color w:val="000000" w:themeColor="text1"/>
          <w:sz w:val="28"/>
          <w:szCs w:val="28"/>
        </w:rPr>
        <w:t>）服务水平（自拟）</w:t>
      </w:r>
    </w:p>
    <w:p>
      <w:pPr>
        <w:spacing w:line="360" w:lineRule="auto"/>
        <w:ind w:left="181" w:leftChars="86" w:firstLine="120" w:firstLineChars="50"/>
        <w:rPr>
          <w:rFonts w:ascii="宋体"/>
          <w:color w:val="000000" w:themeColor="text1"/>
          <w:sz w:val="24"/>
        </w:rPr>
      </w:pPr>
      <w:r>
        <w:rPr>
          <w:rFonts w:hint="eastAsia" w:ascii="宋体" w:hAnsi="宋体" w:cs="宋体"/>
          <w:color w:val="000000" w:themeColor="text1"/>
          <w:sz w:val="24"/>
        </w:rPr>
        <w:t>（要求针对评委打分表的具体内容进行具体描述）</w:t>
      </w:r>
    </w:p>
    <w:p>
      <w:pPr>
        <w:spacing w:line="360" w:lineRule="auto"/>
        <w:rPr>
          <w:rFonts w:ascii="宋体"/>
          <w:color w:val="000000" w:themeColor="text1"/>
          <w:sz w:val="24"/>
        </w:rPr>
      </w:pPr>
      <w:r>
        <w:rPr>
          <w:rFonts w:hint="eastAsia" w:ascii="宋体" w:hAnsi="宋体" w:cs="宋体"/>
          <w:color w:val="000000" w:themeColor="text1"/>
          <w:sz w:val="24"/>
        </w:rPr>
        <w:t>包含但不限于：</w:t>
      </w:r>
    </w:p>
    <w:p>
      <w:pPr>
        <w:numPr>
          <w:ilvl w:val="0"/>
          <w:numId w:val="17"/>
        </w:numPr>
        <w:spacing w:line="360" w:lineRule="auto"/>
        <w:rPr>
          <w:rFonts w:ascii="宋体"/>
          <w:color w:val="000000" w:themeColor="text1"/>
          <w:sz w:val="24"/>
        </w:rPr>
      </w:pPr>
      <w:r>
        <w:rPr>
          <w:rFonts w:hint="eastAsia" w:ascii="宋体" w:hAnsi="宋体" w:cs="宋体"/>
          <w:color w:val="000000" w:themeColor="text1"/>
          <w:sz w:val="24"/>
        </w:rPr>
        <w:t>投标人的手续费用减免情况；</w:t>
      </w:r>
    </w:p>
    <w:p>
      <w:pPr>
        <w:numPr>
          <w:ilvl w:val="0"/>
          <w:numId w:val="17"/>
        </w:numPr>
        <w:spacing w:line="360" w:lineRule="auto"/>
        <w:rPr>
          <w:rFonts w:ascii="宋体"/>
          <w:color w:val="000000" w:themeColor="text1"/>
          <w:sz w:val="24"/>
        </w:rPr>
      </w:pPr>
      <w:r>
        <w:rPr>
          <w:rFonts w:hint="eastAsia" w:ascii="宋体" w:hAnsi="宋体" w:cs="宋体"/>
          <w:color w:val="000000" w:themeColor="text1"/>
          <w:sz w:val="24"/>
        </w:rPr>
        <w:t>投标人的营业网点情况；</w:t>
      </w:r>
    </w:p>
    <w:p>
      <w:pPr>
        <w:numPr>
          <w:ilvl w:val="0"/>
          <w:numId w:val="17"/>
        </w:numPr>
        <w:spacing w:line="360" w:lineRule="auto"/>
        <w:rPr>
          <w:rFonts w:ascii="宋体"/>
          <w:color w:val="000000" w:themeColor="text1"/>
          <w:sz w:val="24"/>
        </w:rPr>
      </w:pPr>
      <w:r>
        <w:rPr>
          <w:rFonts w:hint="eastAsia" w:ascii="宋体" w:hAnsi="宋体" w:cs="宋体"/>
          <w:color w:val="000000" w:themeColor="text1"/>
          <w:sz w:val="24"/>
        </w:rPr>
        <w:t>投标人对招标人的</w:t>
      </w:r>
      <w:r>
        <w:rPr>
          <w:rFonts w:hint="eastAsia" w:ascii="宋体"/>
          <w:color w:val="000000" w:themeColor="text1"/>
          <w:sz w:val="24"/>
        </w:rPr>
        <w:t>资金安全和保值增值方案；</w:t>
      </w:r>
    </w:p>
    <w:p>
      <w:pPr>
        <w:numPr>
          <w:ilvl w:val="0"/>
          <w:numId w:val="17"/>
        </w:numPr>
        <w:spacing w:line="360" w:lineRule="auto"/>
        <w:rPr>
          <w:rFonts w:ascii="宋体"/>
          <w:color w:val="000000" w:themeColor="text1"/>
          <w:sz w:val="24"/>
        </w:rPr>
      </w:pPr>
      <w:r>
        <w:rPr>
          <w:rFonts w:hint="eastAsia" w:ascii="宋体" w:hAnsi="宋体" w:cs="宋体"/>
          <w:color w:val="000000" w:themeColor="text1"/>
          <w:sz w:val="24"/>
        </w:rPr>
        <w:t>投标人对招标人的</w:t>
      </w:r>
      <w:r>
        <w:rPr>
          <w:rFonts w:hint="eastAsia" w:ascii="宋体"/>
          <w:color w:val="000000" w:themeColor="text1"/>
          <w:sz w:val="24"/>
        </w:rPr>
        <w:t>特色服务方案；</w:t>
      </w:r>
    </w:p>
    <w:p>
      <w:pPr>
        <w:numPr>
          <w:ilvl w:val="0"/>
          <w:numId w:val="17"/>
        </w:numPr>
        <w:spacing w:line="360" w:lineRule="auto"/>
        <w:rPr>
          <w:rFonts w:ascii="宋体"/>
          <w:color w:val="000000" w:themeColor="text1"/>
          <w:sz w:val="24"/>
        </w:rPr>
      </w:pPr>
      <w:r>
        <w:rPr>
          <w:rFonts w:hint="eastAsia" w:ascii="宋体" w:hAnsi="宋体" w:cs="宋体"/>
          <w:color w:val="000000" w:themeColor="text1"/>
          <w:sz w:val="24"/>
        </w:rPr>
        <w:t>……</w:t>
      </w:r>
    </w:p>
    <w:p>
      <w:pPr>
        <w:spacing w:line="360" w:lineRule="auto"/>
        <w:ind w:left="181" w:leftChars="86" w:firstLine="120" w:firstLineChars="50"/>
        <w:rPr>
          <w:rFonts w:ascii="宋体"/>
          <w:color w:val="000000" w:themeColor="text1"/>
          <w:sz w:val="24"/>
        </w:rPr>
      </w:pPr>
    </w:p>
    <w:p>
      <w:pPr>
        <w:spacing w:line="360" w:lineRule="auto"/>
        <w:ind w:left="181" w:leftChars="86" w:firstLine="120" w:firstLineChars="50"/>
        <w:rPr>
          <w:rFonts w:ascii="宋体"/>
          <w:color w:val="000000" w:themeColor="text1"/>
          <w:sz w:val="24"/>
        </w:rPr>
      </w:pPr>
    </w:p>
    <w:p>
      <w:pPr>
        <w:spacing w:line="360" w:lineRule="auto"/>
        <w:ind w:left="181" w:leftChars="86" w:firstLine="120" w:firstLineChars="50"/>
        <w:rPr>
          <w:rFonts w:ascii="宋体"/>
          <w:color w:val="000000" w:themeColor="text1"/>
          <w:sz w:val="24"/>
        </w:rPr>
      </w:pPr>
    </w:p>
    <w:p>
      <w:pPr>
        <w:spacing w:line="360" w:lineRule="auto"/>
        <w:ind w:left="181" w:leftChars="86" w:firstLine="120" w:firstLineChars="50"/>
        <w:rPr>
          <w:rFonts w:ascii="宋体"/>
          <w:color w:val="000000" w:themeColor="text1"/>
          <w:sz w:val="24"/>
        </w:rPr>
      </w:pPr>
    </w:p>
    <w:p>
      <w:pPr>
        <w:spacing w:line="360" w:lineRule="auto"/>
        <w:ind w:left="181" w:leftChars="86" w:firstLine="120" w:firstLineChars="50"/>
        <w:rPr>
          <w:rFonts w:ascii="宋体"/>
          <w:color w:val="000000" w:themeColor="text1"/>
          <w:sz w:val="24"/>
        </w:rPr>
      </w:pPr>
    </w:p>
    <w:p>
      <w:pPr>
        <w:spacing w:line="360" w:lineRule="auto"/>
        <w:ind w:left="181" w:leftChars="86" w:firstLine="120" w:firstLineChars="50"/>
        <w:rPr>
          <w:rFonts w:ascii="宋体"/>
          <w:color w:val="000000" w:themeColor="text1"/>
          <w:sz w:val="24"/>
        </w:rPr>
      </w:pPr>
    </w:p>
    <w:p>
      <w:pPr>
        <w:spacing w:line="360" w:lineRule="auto"/>
        <w:ind w:left="181" w:leftChars="86" w:firstLine="120" w:firstLineChars="50"/>
        <w:rPr>
          <w:rFonts w:ascii="宋体"/>
          <w:color w:val="000000" w:themeColor="text1"/>
          <w:sz w:val="24"/>
        </w:rPr>
      </w:pPr>
    </w:p>
    <w:p>
      <w:pPr>
        <w:spacing w:line="360" w:lineRule="auto"/>
        <w:ind w:left="420" w:leftChars="200" w:right="420" w:firstLine="240" w:firstLineChars="100"/>
        <w:rPr>
          <w:rFonts w:ascii="宋体"/>
          <w:color w:val="000000" w:themeColor="text1"/>
          <w:sz w:val="24"/>
        </w:rPr>
      </w:pPr>
    </w:p>
    <w:p>
      <w:pPr>
        <w:spacing w:line="360" w:lineRule="auto"/>
        <w:ind w:right="420" w:firstLine="360" w:firstLineChars="150"/>
        <w:rPr>
          <w:rFonts w:ascii="宋体"/>
          <w:color w:val="000000" w:themeColor="text1"/>
          <w:sz w:val="24"/>
          <w:u w:val="single"/>
        </w:rPr>
      </w:pPr>
      <w:r>
        <w:rPr>
          <w:rFonts w:hint="eastAsia" w:ascii="宋体" w:hAnsi="宋体" w:cs="宋体"/>
          <w:color w:val="000000" w:themeColor="text1"/>
          <w:sz w:val="24"/>
        </w:rPr>
        <w:t>投标银行（盖章）：</w:t>
      </w:r>
    </w:p>
    <w:p>
      <w:pPr>
        <w:spacing w:line="360" w:lineRule="auto"/>
        <w:ind w:right="420" w:firstLine="360" w:firstLineChars="150"/>
        <w:rPr>
          <w:rFonts w:ascii="宋体"/>
          <w:color w:val="000000" w:themeColor="text1"/>
          <w:sz w:val="24"/>
          <w:u w:val="single"/>
        </w:rPr>
      </w:pPr>
      <w:r>
        <w:rPr>
          <w:rFonts w:hint="eastAsia" w:ascii="宋体" w:hAnsi="宋体" w:cs="宋体"/>
          <w:color w:val="000000" w:themeColor="text1"/>
          <w:sz w:val="24"/>
        </w:rPr>
        <w:t>授权代表签字：</w:t>
      </w:r>
    </w:p>
    <w:p>
      <w:pPr>
        <w:spacing w:line="360" w:lineRule="auto"/>
        <w:ind w:firstLine="360" w:firstLineChars="150"/>
        <w:rPr>
          <w:rFonts w:ascii="宋体"/>
          <w:color w:val="000000" w:themeColor="text1"/>
          <w:sz w:val="24"/>
        </w:rPr>
      </w:pPr>
      <w:r>
        <w:rPr>
          <w:rFonts w:hint="eastAsia" w:ascii="宋体" w:hAnsi="宋体" w:cs="宋体"/>
          <w:color w:val="000000" w:themeColor="text1"/>
          <w:sz w:val="24"/>
        </w:rPr>
        <w:t>日期：</w:t>
      </w:r>
    </w:p>
    <w:p>
      <w:pPr>
        <w:spacing w:line="360" w:lineRule="auto"/>
        <w:ind w:firstLine="420" w:firstLineChars="150"/>
        <w:rPr>
          <w:rFonts w:ascii="宋体" w:hAnsi="宋体"/>
          <w:color w:val="000000" w:themeColor="text1"/>
          <w:sz w:val="28"/>
          <w:szCs w:val="28"/>
        </w:rPr>
      </w:pPr>
    </w:p>
    <w:p>
      <w:pPr>
        <w:spacing w:line="360" w:lineRule="auto"/>
        <w:ind w:firstLine="420" w:firstLineChars="150"/>
        <w:rPr>
          <w:rFonts w:ascii="宋体" w:hAnsi="宋体"/>
          <w:color w:val="000000" w:themeColor="text1"/>
          <w:sz w:val="28"/>
          <w:szCs w:val="28"/>
        </w:rPr>
      </w:pPr>
    </w:p>
    <w:p>
      <w:pPr>
        <w:spacing w:line="360" w:lineRule="auto"/>
        <w:ind w:firstLine="420" w:firstLineChars="150"/>
        <w:rPr>
          <w:rFonts w:ascii="宋体" w:hAnsi="宋体"/>
          <w:color w:val="000000" w:themeColor="text1"/>
          <w:sz w:val="28"/>
          <w:szCs w:val="28"/>
        </w:rPr>
      </w:pPr>
    </w:p>
    <w:p>
      <w:pPr>
        <w:spacing w:line="360" w:lineRule="auto"/>
        <w:ind w:firstLine="420" w:firstLineChars="150"/>
        <w:rPr>
          <w:rFonts w:ascii="宋体" w:hAnsi="宋体"/>
          <w:color w:val="000000" w:themeColor="text1"/>
          <w:sz w:val="28"/>
          <w:szCs w:val="28"/>
        </w:rPr>
      </w:pPr>
    </w:p>
    <w:p>
      <w:pPr>
        <w:spacing w:line="360" w:lineRule="auto"/>
        <w:ind w:firstLine="420" w:firstLineChars="150"/>
        <w:rPr>
          <w:rFonts w:ascii="宋体" w:hAnsi="宋体"/>
          <w:color w:val="000000" w:themeColor="text1"/>
          <w:sz w:val="28"/>
          <w:szCs w:val="28"/>
        </w:rPr>
      </w:pPr>
    </w:p>
    <w:p>
      <w:pPr>
        <w:spacing w:line="360" w:lineRule="auto"/>
        <w:ind w:firstLine="420" w:firstLineChars="150"/>
        <w:rPr>
          <w:rFonts w:ascii="宋体" w:hAnsi="宋体"/>
          <w:color w:val="000000" w:themeColor="text1"/>
          <w:sz w:val="28"/>
          <w:szCs w:val="28"/>
        </w:rPr>
      </w:pPr>
    </w:p>
    <w:p>
      <w:pPr>
        <w:spacing w:line="360" w:lineRule="auto"/>
        <w:ind w:firstLine="420" w:firstLineChars="150"/>
        <w:rPr>
          <w:rFonts w:ascii="宋体" w:hAnsi="宋体"/>
          <w:color w:val="000000" w:themeColor="text1"/>
          <w:sz w:val="28"/>
          <w:szCs w:val="28"/>
        </w:rPr>
      </w:pPr>
    </w:p>
    <w:p>
      <w:pPr>
        <w:spacing w:line="360" w:lineRule="auto"/>
        <w:jc w:val="center"/>
        <w:rPr>
          <w:rFonts w:ascii="宋体" w:hAnsi="宋体"/>
          <w:b/>
          <w:color w:val="000000" w:themeColor="text1"/>
          <w:sz w:val="28"/>
          <w:szCs w:val="28"/>
        </w:rPr>
      </w:pPr>
    </w:p>
    <w:p>
      <w:pPr>
        <w:spacing w:line="500" w:lineRule="exact"/>
        <w:rPr>
          <w:rFonts w:ascii="仿宋_GB2312" w:hAnsi="仿宋" w:eastAsia="仿宋_GB2312"/>
          <w:color w:val="000000" w:themeColor="text1"/>
          <w:sz w:val="32"/>
          <w:szCs w:val="32"/>
        </w:rPr>
      </w:pPr>
    </w:p>
    <w:p>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8、廉政承诺书</w:t>
      </w:r>
    </w:p>
    <w:p>
      <w:pPr>
        <w:spacing w:line="360" w:lineRule="auto"/>
        <w:rPr>
          <w:rFonts w:ascii="宋体" w:hAnsi="宋体"/>
          <w:color w:val="000000" w:themeColor="text1"/>
          <w:sz w:val="28"/>
          <w:szCs w:val="28"/>
        </w:rPr>
      </w:pPr>
    </w:p>
    <w:p>
      <w:pPr>
        <w:spacing w:line="360" w:lineRule="auto"/>
        <w:ind w:firstLine="560" w:firstLineChars="200"/>
        <w:rPr>
          <w:rFonts w:hint="eastAsia" w:ascii="宋体" w:hAnsi="宋体" w:eastAsia="宋体" w:cs="Times New Roman"/>
          <w:color w:val="000000" w:themeColor="text1"/>
          <w:sz w:val="28"/>
          <w:szCs w:val="28"/>
        </w:rPr>
      </w:pPr>
      <w:r>
        <w:rPr>
          <w:rFonts w:hint="eastAsia" w:ascii="宋体" w:hAnsi="宋体"/>
          <w:color w:val="000000" w:themeColor="text1"/>
          <w:sz w:val="28"/>
          <w:szCs w:val="28"/>
        </w:rPr>
        <w:t>部门</w:t>
      </w:r>
      <w:r>
        <w:rPr>
          <w:rFonts w:hint="eastAsia" w:ascii="宋体" w:hAnsi="宋体" w:eastAsia="宋体" w:cs="Times New Roman"/>
          <w:color w:val="000000" w:themeColor="text1"/>
          <w:sz w:val="28"/>
          <w:szCs w:val="28"/>
        </w:rPr>
        <w:t>（单位）：</w:t>
      </w:r>
    </w:p>
    <w:p>
      <w:pPr>
        <w:spacing w:line="360" w:lineRule="auto"/>
        <w:ind w:firstLine="560" w:firstLineChars="200"/>
        <w:rPr>
          <w:rFonts w:ascii="宋体" w:hAnsi="宋体"/>
          <w:color w:val="000000" w:themeColor="text1"/>
          <w:sz w:val="28"/>
          <w:szCs w:val="28"/>
        </w:rPr>
      </w:pPr>
      <w:r>
        <w:rPr>
          <w:rFonts w:hint="eastAsia" w:ascii="宋体" w:hAnsi="宋体" w:eastAsia="宋体" w:cs="Times New Roman"/>
          <w:color w:val="000000" w:themeColor="text1"/>
          <w:sz w:val="28"/>
          <w:szCs w:val="28"/>
        </w:rPr>
        <w:t>根据《中华人民共和国</w:t>
      </w:r>
      <w:r>
        <w:rPr>
          <w:rFonts w:hint="eastAsia" w:ascii="宋体" w:hAnsi="宋体" w:eastAsia="宋体" w:cs="Times New Roman"/>
          <w:color w:val="000000" w:themeColor="text1"/>
          <w:sz w:val="28"/>
          <w:szCs w:val="28"/>
          <w:lang w:val="en-US" w:eastAsia="zh-CN"/>
        </w:rPr>
        <w:t>民法典</w:t>
      </w:r>
      <w:r>
        <w:rPr>
          <w:rFonts w:hint="eastAsia" w:ascii="宋体" w:hAnsi="宋体" w:eastAsia="宋体" w:cs="Times New Roman"/>
          <w:color w:val="000000" w:themeColor="text1"/>
          <w:sz w:val="28"/>
          <w:szCs w:val="28"/>
        </w:rPr>
        <w:t>》、《中共浙江省委办公厅、浙江省人民政府办公厅印发&lt;关于防止领导干部在公款存放方面发生利益冲突和利益输送的办法&gt;的通知》(浙委办发[2015]8 号)</w:t>
      </w:r>
      <w:r>
        <w:rPr>
          <w:rFonts w:hint="eastAsia" w:ascii="宋体" w:hAnsi="宋体" w:eastAsia="宋体" w:cs="Times New Roman"/>
          <w:color w:val="000000" w:themeColor="text1"/>
          <w:sz w:val="28"/>
          <w:szCs w:val="28"/>
          <w:lang w:eastAsia="zh-CN"/>
        </w:rPr>
        <w:t>，</w:t>
      </w:r>
      <w:r>
        <w:rPr>
          <w:rFonts w:hint="eastAsia" w:ascii="宋体" w:hAnsi="宋体" w:eastAsia="宋体" w:cs="Times New Roman"/>
          <w:color w:val="000000" w:themeColor="text1"/>
          <w:sz w:val="28"/>
          <w:szCs w:val="28"/>
        </w:rPr>
        <w:t>《建德市财政局关于印发建德市市级行政事业单位公款竞争性存放管理办法的通知》有关规定，现就</w:t>
      </w:r>
      <w:r>
        <w:rPr>
          <w:rFonts w:hint="eastAsia" w:ascii="宋体" w:hAnsi="宋体"/>
          <w:color w:val="000000" w:themeColor="text1"/>
          <w:sz w:val="28"/>
          <w:szCs w:val="28"/>
        </w:rPr>
        <w:t>本行参加贵单位年招标作出如下承诺：</w:t>
      </w:r>
    </w:p>
    <w:p>
      <w:pPr>
        <w:spacing w:line="360" w:lineRule="auto"/>
        <w:rPr>
          <w:rFonts w:ascii="宋体" w:hAnsi="宋体"/>
          <w:color w:val="000000" w:themeColor="text1"/>
          <w:sz w:val="28"/>
          <w:szCs w:val="28"/>
        </w:rPr>
      </w:pPr>
      <w:r>
        <w:rPr>
          <w:rFonts w:hint="eastAsia" w:ascii="宋体" w:hAnsi="宋体"/>
          <w:color w:val="000000" w:themeColor="text1"/>
          <w:sz w:val="28"/>
          <w:szCs w:val="28"/>
        </w:rPr>
        <w:t>1.不向贵单位负责公款存放管理的领导及相关人员进行利益输送；</w:t>
      </w:r>
    </w:p>
    <w:p>
      <w:pPr>
        <w:spacing w:line="360" w:lineRule="auto"/>
        <w:rPr>
          <w:rFonts w:ascii="宋体" w:hAnsi="宋体"/>
          <w:color w:val="000000" w:themeColor="text1"/>
          <w:sz w:val="28"/>
          <w:szCs w:val="28"/>
        </w:rPr>
      </w:pPr>
      <w:r>
        <w:rPr>
          <w:rFonts w:hint="eastAsia" w:ascii="宋体" w:hAnsi="宋体"/>
          <w:color w:val="000000" w:themeColor="text1"/>
          <w:sz w:val="28"/>
          <w:szCs w:val="28"/>
        </w:rPr>
        <w:t>2.不将公款存放与贵单位负责公款存放管理的领导及相关人员在本行的配偶、子女及其配偶和其他直接利益相关人员的业绩、收入、晋升等利益挂钩；</w:t>
      </w:r>
    </w:p>
    <w:p>
      <w:pPr>
        <w:spacing w:line="360" w:lineRule="auto"/>
        <w:rPr>
          <w:rFonts w:ascii="宋体" w:hAnsi="宋体"/>
          <w:color w:val="000000" w:themeColor="text1"/>
          <w:sz w:val="28"/>
          <w:szCs w:val="28"/>
        </w:rPr>
      </w:pPr>
      <w:r>
        <w:rPr>
          <w:rFonts w:hint="eastAsia" w:ascii="宋体" w:hAnsi="宋体"/>
          <w:color w:val="000000" w:themeColor="text1"/>
          <w:sz w:val="28"/>
          <w:szCs w:val="28"/>
        </w:rPr>
        <w:t>3. 严格执行利益回避制度，贵单位负责公款竞争性存放相关人员的配偶、子女及其配偶和其他直接利益相关人员为本行工作人员的，不参与公款竞争性存放工作；</w:t>
      </w:r>
    </w:p>
    <w:p>
      <w:pPr>
        <w:spacing w:line="360" w:lineRule="auto"/>
        <w:rPr>
          <w:rFonts w:ascii="宋体" w:hAnsi="宋体"/>
          <w:color w:val="000000" w:themeColor="text1"/>
          <w:sz w:val="28"/>
          <w:szCs w:val="28"/>
        </w:rPr>
      </w:pPr>
      <w:r>
        <w:rPr>
          <w:rFonts w:hint="eastAsia" w:ascii="宋体" w:hAnsi="宋体"/>
          <w:color w:val="000000" w:themeColor="text1"/>
          <w:sz w:val="28"/>
          <w:szCs w:val="28"/>
        </w:rPr>
        <w:t>4.不发生除上述行为之外的其他任何利益输送行为。</w:t>
      </w:r>
    </w:p>
    <w:p>
      <w:pPr>
        <w:spacing w:line="360" w:lineRule="auto"/>
        <w:rPr>
          <w:rFonts w:ascii="宋体" w:hAnsi="宋体"/>
          <w:color w:val="000000" w:themeColor="text1"/>
          <w:sz w:val="28"/>
          <w:szCs w:val="28"/>
        </w:rPr>
      </w:pPr>
      <w:r>
        <w:rPr>
          <w:rFonts w:hint="eastAsia" w:ascii="宋体" w:hAnsi="宋体"/>
          <w:color w:val="000000" w:themeColor="text1"/>
          <w:sz w:val="28"/>
          <w:szCs w:val="28"/>
        </w:rPr>
        <w:t>未遵守以上承诺的，本行自愿接受财政部门通报和处理，承担相应的一切后果。</w:t>
      </w:r>
    </w:p>
    <w:p>
      <w:pPr>
        <w:spacing w:line="360" w:lineRule="auto"/>
        <w:rPr>
          <w:rFonts w:ascii="宋体" w:hAnsi="宋体"/>
          <w:color w:val="000000" w:themeColor="text1"/>
          <w:sz w:val="28"/>
          <w:szCs w:val="28"/>
        </w:rPr>
      </w:pPr>
    </w:p>
    <w:p>
      <w:pPr>
        <w:spacing w:line="360" w:lineRule="auto"/>
        <w:rPr>
          <w:rFonts w:ascii="宋体" w:hAnsi="宋体"/>
          <w:color w:val="000000" w:themeColor="text1"/>
          <w:sz w:val="28"/>
          <w:szCs w:val="28"/>
        </w:rPr>
      </w:pPr>
      <w:r>
        <w:rPr>
          <w:rFonts w:hint="eastAsia" w:ascii="宋体" w:hAnsi="宋体"/>
          <w:color w:val="000000" w:themeColor="text1"/>
          <w:sz w:val="28"/>
          <w:szCs w:val="28"/>
        </w:rPr>
        <w:t xml:space="preserve">                                         银行（公章）</w:t>
      </w:r>
    </w:p>
    <w:p>
      <w:pPr>
        <w:spacing w:line="360" w:lineRule="auto"/>
        <w:ind w:firstLine="420" w:firstLineChars="150"/>
        <w:rPr>
          <w:rFonts w:ascii="宋体" w:hAnsi="宋体"/>
          <w:color w:val="000000" w:themeColor="text1"/>
          <w:sz w:val="28"/>
          <w:szCs w:val="28"/>
        </w:rPr>
      </w:pPr>
      <w:r>
        <w:rPr>
          <w:rFonts w:hint="eastAsia" w:ascii="宋体" w:hAnsi="宋体"/>
          <w:color w:val="000000" w:themeColor="text1"/>
          <w:sz w:val="28"/>
          <w:szCs w:val="28"/>
        </w:rPr>
        <w:t xml:space="preserve">                                       年   月   日</w:t>
      </w:r>
    </w:p>
    <w:sectPr>
      <w:pgSz w:w="11906" w:h="16838"/>
      <w:pgMar w:top="1440" w:right="1469"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14</w:t>
    </w:r>
    <w:r>
      <w:fldChar w:fldCharType="end"/>
    </w:r>
  </w:p>
  <w:p>
    <w:pPr>
      <w:pStyle w:val="22"/>
      <w:framePr w:wrap="around" w:vAnchor="text" w:hAnchor="margin" w:xAlign="right" w:y="1"/>
      <w:rPr>
        <w:rStyle w:val="34"/>
      </w:rPr>
    </w:pPr>
  </w:p>
  <w:p>
    <w:pPr>
      <w:pStyle w:val="2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34"/>
      </w:rPr>
      <w:instrText xml:space="preserve"> PAGE </w:instrText>
    </w:r>
    <w:r>
      <w:fldChar w:fldCharType="separate"/>
    </w:r>
    <w:r>
      <w:rPr>
        <w:rStyle w:val="34"/>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44"/>
      <w:lvlText w:val="%1."/>
      <w:lvlJc w:val="left"/>
      <w:pPr>
        <w:tabs>
          <w:tab w:val="left" w:pos="1200"/>
        </w:tabs>
        <w:ind w:left="1200" w:hanging="360"/>
      </w:pPr>
    </w:lvl>
  </w:abstractNum>
  <w:abstractNum w:abstractNumId="1">
    <w:nsid w:val="00000005"/>
    <w:multiLevelType w:val="multilevel"/>
    <w:tmpl w:val="00000005"/>
    <w:lvl w:ilvl="0" w:tentative="0">
      <w:start w:val="1"/>
      <w:numFmt w:val="decimal"/>
      <w:lvlText w:val="%1、"/>
      <w:lvlJc w:val="left"/>
      <w:pPr>
        <w:tabs>
          <w:tab w:val="left" w:pos="360"/>
        </w:tabs>
        <w:ind w:left="360" w:hanging="360"/>
      </w:pPr>
      <w:rPr>
        <w:rFonts w:cs="Times New Roman"/>
      </w:rPr>
    </w:lvl>
    <w:lvl w:ilvl="1" w:tentative="0">
      <w:start w:val="6"/>
      <w:numFmt w:val="japaneseCounting"/>
      <w:lvlText w:val="%2、"/>
      <w:lvlJc w:val="left"/>
      <w:pPr>
        <w:tabs>
          <w:tab w:val="left" w:pos="840"/>
        </w:tabs>
        <w:ind w:left="840" w:hanging="4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0000000D"/>
    <w:multiLevelType w:val="multilevel"/>
    <w:tmpl w:val="0000000D"/>
    <w:lvl w:ilvl="0" w:tentative="0">
      <w:start w:val="1"/>
      <w:numFmt w:val="decimal"/>
      <w:lvlText w:val="%1、"/>
      <w:lvlJc w:val="left"/>
      <w:pPr>
        <w:tabs>
          <w:tab w:val="left" w:pos="360"/>
        </w:tabs>
        <w:ind w:left="36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00000011"/>
    <w:multiLevelType w:val="multilevel"/>
    <w:tmpl w:val="00000011"/>
    <w:lvl w:ilvl="0" w:tentative="0">
      <w:start w:val="1"/>
      <w:numFmt w:val="chineseCountingThousand"/>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4"/>
    <w:multiLevelType w:val="multilevel"/>
    <w:tmpl w:val="00000014"/>
    <w:lvl w:ilvl="0" w:tentative="0">
      <w:start w:val="1"/>
      <w:numFmt w:val="decimal"/>
      <w:lvlText w:val="%1."/>
      <w:lvlJc w:val="left"/>
      <w:pPr>
        <w:tabs>
          <w:tab w:val="left" w:pos="840"/>
        </w:tabs>
        <w:ind w:left="840" w:hanging="360"/>
      </w:pPr>
      <w:rPr>
        <w:rFonts w:hint="default"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1A"/>
    <w:multiLevelType w:val="multilevel"/>
    <w:tmpl w:val="0000001A"/>
    <w:lvl w:ilvl="0" w:tentative="0">
      <w:start w:val="1"/>
      <w:numFmt w:val="decimal"/>
      <w:lvlText w:val="%1、"/>
      <w:lvlJc w:val="left"/>
      <w:pPr>
        <w:tabs>
          <w:tab w:val="left" w:pos="360"/>
        </w:tabs>
        <w:ind w:left="36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034D5883"/>
    <w:multiLevelType w:val="multilevel"/>
    <w:tmpl w:val="034D588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9E2B4E"/>
    <w:multiLevelType w:val="multilevel"/>
    <w:tmpl w:val="189E2B4E"/>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9">
    <w:nsid w:val="1C981A0F"/>
    <w:multiLevelType w:val="multilevel"/>
    <w:tmpl w:val="1C981A0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1A577E"/>
    <w:multiLevelType w:val="multilevel"/>
    <w:tmpl w:val="1F1A577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6B2A94"/>
    <w:multiLevelType w:val="multilevel"/>
    <w:tmpl w:val="226B2A9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42D58BE"/>
    <w:multiLevelType w:val="multilevel"/>
    <w:tmpl w:val="342D58B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D1DB158"/>
    <w:multiLevelType w:val="singleLevel"/>
    <w:tmpl w:val="4D1DB158"/>
    <w:lvl w:ilvl="0" w:tentative="0">
      <w:start w:val="4"/>
      <w:numFmt w:val="chineseCounting"/>
      <w:suff w:val="nothing"/>
      <w:lvlText w:val="%1、"/>
      <w:lvlJc w:val="left"/>
      <w:rPr>
        <w:rFonts w:hint="eastAsia"/>
      </w:rPr>
    </w:lvl>
  </w:abstractNum>
  <w:abstractNum w:abstractNumId="14">
    <w:nsid w:val="548113B8"/>
    <w:multiLevelType w:val="multilevel"/>
    <w:tmpl w:val="548113B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607FDC"/>
    <w:multiLevelType w:val="singleLevel"/>
    <w:tmpl w:val="63607FDC"/>
    <w:lvl w:ilvl="0" w:tentative="0">
      <w:start w:val="1"/>
      <w:numFmt w:val="decimal"/>
      <w:suff w:val="nothing"/>
      <w:lvlText w:val="%1."/>
      <w:lvlJc w:val="left"/>
    </w:lvl>
  </w:abstractNum>
  <w:abstractNum w:abstractNumId="16">
    <w:nsid w:val="6F0B3898"/>
    <w:multiLevelType w:val="multilevel"/>
    <w:tmpl w:val="6F0B38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3"/>
  </w:num>
  <w:num w:numId="3">
    <w:abstractNumId w:val="5"/>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4"/>
  </w:num>
  <w:num w:numId="13">
    <w:abstractNumId w:val="11"/>
  </w:num>
  <w:num w:numId="14">
    <w:abstractNumId w:val="3"/>
    <w:lvlOverride w:ilvl="0">
      <w:startOverride w:val="1"/>
    </w:lvlOverride>
  </w:num>
  <w:num w:numId="15">
    <w:abstractNumId w:val="1"/>
    <w:lvlOverride w:ilvl="0">
      <w:startOverride w:val="1"/>
    </w:lvlOverride>
  </w:num>
  <w:num w:numId="16">
    <w:abstractNumId w:val="6"/>
    <w:lvlOverride w:ilvl="0">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A3MWI3NjFkNjdiOTlhZjZmNDEwMmViMjI1MzE3N2IifQ=="/>
  </w:docVars>
  <w:rsids>
    <w:rsidRoot w:val="00172A27"/>
    <w:rsid w:val="000028C1"/>
    <w:rsid w:val="00002D9A"/>
    <w:rsid w:val="00003B70"/>
    <w:rsid w:val="0000596F"/>
    <w:rsid w:val="000060EF"/>
    <w:rsid w:val="000144AD"/>
    <w:rsid w:val="00014539"/>
    <w:rsid w:val="0002272E"/>
    <w:rsid w:val="00025CEE"/>
    <w:rsid w:val="00025EF3"/>
    <w:rsid w:val="0003701F"/>
    <w:rsid w:val="00037CF2"/>
    <w:rsid w:val="0004078A"/>
    <w:rsid w:val="00043C09"/>
    <w:rsid w:val="00044EEB"/>
    <w:rsid w:val="00045483"/>
    <w:rsid w:val="0004570C"/>
    <w:rsid w:val="0005016A"/>
    <w:rsid w:val="00056187"/>
    <w:rsid w:val="00060669"/>
    <w:rsid w:val="00063EA7"/>
    <w:rsid w:val="00072319"/>
    <w:rsid w:val="00076D92"/>
    <w:rsid w:val="00080289"/>
    <w:rsid w:val="00080657"/>
    <w:rsid w:val="00082613"/>
    <w:rsid w:val="00082915"/>
    <w:rsid w:val="00087B33"/>
    <w:rsid w:val="00090980"/>
    <w:rsid w:val="000924D9"/>
    <w:rsid w:val="00094772"/>
    <w:rsid w:val="000A0D3E"/>
    <w:rsid w:val="000A6872"/>
    <w:rsid w:val="000B0625"/>
    <w:rsid w:val="000B09D5"/>
    <w:rsid w:val="000B1B79"/>
    <w:rsid w:val="000B2543"/>
    <w:rsid w:val="000B2B44"/>
    <w:rsid w:val="000B7975"/>
    <w:rsid w:val="000C3711"/>
    <w:rsid w:val="000C3F59"/>
    <w:rsid w:val="000C469A"/>
    <w:rsid w:val="000C5338"/>
    <w:rsid w:val="000D4EFF"/>
    <w:rsid w:val="000D57DC"/>
    <w:rsid w:val="000D6A9E"/>
    <w:rsid w:val="000E0384"/>
    <w:rsid w:val="000E1E13"/>
    <w:rsid w:val="000E3854"/>
    <w:rsid w:val="00100374"/>
    <w:rsid w:val="00101D48"/>
    <w:rsid w:val="0010696E"/>
    <w:rsid w:val="00107465"/>
    <w:rsid w:val="00107862"/>
    <w:rsid w:val="00116952"/>
    <w:rsid w:val="00121C60"/>
    <w:rsid w:val="00125999"/>
    <w:rsid w:val="00125D0A"/>
    <w:rsid w:val="00127720"/>
    <w:rsid w:val="00131B39"/>
    <w:rsid w:val="001339D3"/>
    <w:rsid w:val="00134508"/>
    <w:rsid w:val="00136052"/>
    <w:rsid w:val="001408F2"/>
    <w:rsid w:val="00141516"/>
    <w:rsid w:val="00141766"/>
    <w:rsid w:val="00141C14"/>
    <w:rsid w:val="00143DD8"/>
    <w:rsid w:val="001470AE"/>
    <w:rsid w:val="00151DF1"/>
    <w:rsid w:val="001546C4"/>
    <w:rsid w:val="001565B6"/>
    <w:rsid w:val="00161337"/>
    <w:rsid w:val="0016223F"/>
    <w:rsid w:val="00164589"/>
    <w:rsid w:val="00166B3A"/>
    <w:rsid w:val="001677B0"/>
    <w:rsid w:val="001717C6"/>
    <w:rsid w:val="00172A27"/>
    <w:rsid w:val="00172A34"/>
    <w:rsid w:val="0017505F"/>
    <w:rsid w:val="001770C7"/>
    <w:rsid w:val="00177ADC"/>
    <w:rsid w:val="0018164B"/>
    <w:rsid w:val="001816D4"/>
    <w:rsid w:val="001833DA"/>
    <w:rsid w:val="00184475"/>
    <w:rsid w:val="00187816"/>
    <w:rsid w:val="0019088C"/>
    <w:rsid w:val="00190DF3"/>
    <w:rsid w:val="001954B8"/>
    <w:rsid w:val="001A0E9E"/>
    <w:rsid w:val="001A3BCF"/>
    <w:rsid w:val="001A6BBD"/>
    <w:rsid w:val="001B19F4"/>
    <w:rsid w:val="001B2760"/>
    <w:rsid w:val="001C0908"/>
    <w:rsid w:val="001C1323"/>
    <w:rsid w:val="001C43CC"/>
    <w:rsid w:val="001C56D9"/>
    <w:rsid w:val="001D0A92"/>
    <w:rsid w:val="001D12CF"/>
    <w:rsid w:val="001D132A"/>
    <w:rsid w:val="001D217A"/>
    <w:rsid w:val="001D36F5"/>
    <w:rsid w:val="001E38D8"/>
    <w:rsid w:val="001F2280"/>
    <w:rsid w:val="001F2321"/>
    <w:rsid w:val="001F24C2"/>
    <w:rsid w:val="001F42D4"/>
    <w:rsid w:val="001F55A8"/>
    <w:rsid w:val="00211C83"/>
    <w:rsid w:val="00212BE4"/>
    <w:rsid w:val="0021512D"/>
    <w:rsid w:val="00215EE4"/>
    <w:rsid w:val="00217326"/>
    <w:rsid w:val="002213CC"/>
    <w:rsid w:val="00226AAE"/>
    <w:rsid w:val="002270BC"/>
    <w:rsid w:val="002313FC"/>
    <w:rsid w:val="00231634"/>
    <w:rsid w:val="00231A15"/>
    <w:rsid w:val="00232C58"/>
    <w:rsid w:val="00236909"/>
    <w:rsid w:val="00241C08"/>
    <w:rsid w:val="0024496F"/>
    <w:rsid w:val="00244EE7"/>
    <w:rsid w:val="00245CEA"/>
    <w:rsid w:val="00246E22"/>
    <w:rsid w:val="002475BC"/>
    <w:rsid w:val="00247FDB"/>
    <w:rsid w:val="00250F7C"/>
    <w:rsid w:val="002567E7"/>
    <w:rsid w:val="00257D2A"/>
    <w:rsid w:val="00260486"/>
    <w:rsid w:val="002623F8"/>
    <w:rsid w:val="00264045"/>
    <w:rsid w:val="002707F0"/>
    <w:rsid w:val="0028453C"/>
    <w:rsid w:val="00287997"/>
    <w:rsid w:val="00291631"/>
    <w:rsid w:val="00293309"/>
    <w:rsid w:val="00294E6D"/>
    <w:rsid w:val="00295A55"/>
    <w:rsid w:val="00296FE2"/>
    <w:rsid w:val="0029767D"/>
    <w:rsid w:val="002A1556"/>
    <w:rsid w:val="002A4646"/>
    <w:rsid w:val="002B21F7"/>
    <w:rsid w:val="002B3B05"/>
    <w:rsid w:val="002B3E96"/>
    <w:rsid w:val="002C7889"/>
    <w:rsid w:val="002D04C9"/>
    <w:rsid w:val="002D690E"/>
    <w:rsid w:val="002D7D89"/>
    <w:rsid w:val="002E1625"/>
    <w:rsid w:val="002E2585"/>
    <w:rsid w:val="002E669F"/>
    <w:rsid w:val="002F26CF"/>
    <w:rsid w:val="002F2D3B"/>
    <w:rsid w:val="002F52D0"/>
    <w:rsid w:val="002F64E7"/>
    <w:rsid w:val="002F6E34"/>
    <w:rsid w:val="0030156C"/>
    <w:rsid w:val="00302E22"/>
    <w:rsid w:val="00303C85"/>
    <w:rsid w:val="003064B6"/>
    <w:rsid w:val="003153EA"/>
    <w:rsid w:val="00315BCE"/>
    <w:rsid w:val="00322DF1"/>
    <w:rsid w:val="003232E1"/>
    <w:rsid w:val="003345F0"/>
    <w:rsid w:val="003347BE"/>
    <w:rsid w:val="00336D0E"/>
    <w:rsid w:val="003370C5"/>
    <w:rsid w:val="00340040"/>
    <w:rsid w:val="00344137"/>
    <w:rsid w:val="003451DD"/>
    <w:rsid w:val="00350886"/>
    <w:rsid w:val="00351429"/>
    <w:rsid w:val="00352814"/>
    <w:rsid w:val="00355D48"/>
    <w:rsid w:val="0036765B"/>
    <w:rsid w:val="00373247"/>
    <w:rsid w:val="003741FB"/>
    <w:rsid w:val="00375567"/>
    <w:rsid w:val="003766F0"/>
    <w:rsid w:val="003774D0"/>
    <w:rsid w:val="003832D9"/>
    <w:rsid w:val="00385EFC"/>
    <w:rsid w:val="0039098A"/>
    <w:rsid w:val="00392A41"/>
    <w:rsid w:val="00394645"/>
    <w:rsid w:val="00395FB9"/>
    <w:rsid w:val="003A10E4"/>
    <w:rsid w:val="003A2B80"/>
    <w:rsid w:val="003A413A"/>
    <w:rsid w:val="003A623D"/>
    <w:rsid w:val="003A7FE3"/>
    <w:rsid w:val="003B0473"/>
    <w:rsid w:val="003B2204"/>
    <w:rsid w:val="003B312F"/>
    <w:rsid w:val="003B5E15"/>
    <w:rsid w:val="003B742F"/>
    <w:rsid w:val="003C1CDC"/>
    <w:rsid w:val="003C2D9F"/>
    <w:rsid w:val="003C3C32"/>
    <w:rsid w:val="003C3F50"/>
    <w:rsid w:val="003C674E"/>
    <w:rsid w:val="003C6BEF"/>
    <w:rsid w:val="003C7E7B"/>
    <w:rsid w:val="003D0116"/>
    <w:rsid w:val="003D0320"/>
    <w:rsid w:val="003D1F25"/>
    <w:rsid w:val="003D556E"/>
    <w:rsid w:val="003E0494"/>
    <w:rsid w:val="003E1468"/>
    <w:rsid w:val="003E50F6"/>
    <w:rsid w:val="003E6F24"/>
    <w:rsid w:val="003F1FEC"/>
    <w:rsid w:val="003F23FD"/>
    <w:rsid w:val="003F3CAA"/>
    <w:rsid w:val="004024CD"/>
    <w:rsid w:val="004031DD"/>
    <w:rsid w:val="004044CE"/>
    <w:rsid w:val="00413CEC"/>
    <w:rsid w:val="00417DCA"/>
    <w:rsid w:val="00424F3C"/>
    <w:rsid w:val="00424F78"/>
    <w:rsid w:val="00426F10"/>
    <w:rsid w:val="00430BA0"/>
    <w:rsid w:val="00431DD4"/>
    <w:rsid w:val="004339DA"/>
    <w:rsid w:val="00434BA4"/>
    <w:rsid w:val="00435869"/>
    <w:rsid w:val="00437063"/>
    <w:rsid w:val="00443245"/>
    <w:rsid w:val="00445A77"/>
    <w:rsid w:val="00446979"/>
    <w:rsid w:val="004471FC"/>
    <w:rsid w:val="004534BB"/>
    <w:rsid w:val="00453746"/>
    <w:rsid w:val="0045627B"/>
    <w:rsid w:val="00465E5E"/>
    <w:rsid w:val="00467EBB"/>
    <w:rsid w:val="00470B17"/>
    <w:rsid w:val="00471CAA"/>
    <w:rsid w:val="00475A1C"/>
    <w:rsid w:val="00475F97"/>
    <w:rsid w:val="00480859"/>
    <w:rsid w:val="00481697"/>
    <w:rsid w:val="00481DF4"/>
    <w:rsid w:val="00483C45"/>
    <w:rsid w:val="004846CD"/>
    <w:rsid w:val="00485580"/>
    <w:rsid w:val="004855D7"/>
    <w:rsid w:val="004905BC"/>
    <w:rsid w:val="00492680"/>
    <w:rsid w:val="00494747"/>
    <w:rsid w:val="00496257"/>
    <w:rsid w:val="004A3777"/>
    <w:rsid w:val="004A4100"/>
    <w:rsid w:val="004A78C9"/>
    <w:rsid w:val="004A7E16"/>
    <w:rsid w:val="004B043D"/>
    <w:rsid w:val="004B2342"/>
    <w:rsid w:val="004C2755"/>
    <w:rsid w:val="004C362C"/>
    <w:rsid w:val="004C5214"/>
    <w:rsid w:val="004C553D"/>
    <w:rsid w:val="004C707C"/>
    <w:rsid w:val="004F2A32"/>
    <w:rsid w:val="004F2EF6"/>
    <w:rsid w:val="004F3095"/>
    <w:rsid w:val="00501554"/>
    <w:rsid w:val="00507174"/>
    <w:rsid w:val="00515411"/>
    <w:rsid w:val="005172F0"/>
    <w:rsid w:val="00525A98"/>
    <w:rsid w:val="00525B38"/>
    <w:rsid w:val="00525F67"/>
    <w:rsid w:val="00535883"/>
    <w:rsid w:val="00535DAA"/>
    <w:rsid w:val="005375C2"/>
    <w:rsid w:val="00545AFC"/>
    <w:rsid w:val="00546567"/>
    <w:rsid w:val="005474AB"/>
    <w:rsid w:val="0055145F"/>
    <w:rsid w:val="00564B8B"/>
    <w:rsid w:val="005708B2"/>
    <w:rsid w:val="005710AC"/>
    <w:rsid w:val="00581404"/>
    <w:rsid w:val="00582013"/>
    <w:rsid w:val="00582CF4"/>
    <w:rsid w:val="00586E21"/>
    <w:rsid w:val="0059267B"/>
    <w:rsid w:val="005942DD"/>
    <w:rsid w:val="00594D3A"/>
    <w:rsid w:val="00594FCA"/>
    <w:rsid w:val="005951B8"/>
    <w:rsid w:val="00596841"/>
    <w:rsid w:val="005A0E40"/>
    <w:rsid w:val="005A1DB3"/>
    <w:rsid w:val="005A209E"/>
    <w:rsid w:val="005A41B5"/>
    <w:rsid w:val="005A684D"/>
    <w:rsid w:val="005A737B"/>
    <w:rsid w:val="005B3C68"/>
    <w:rsid w:val="005B5E0E"/>
    <w:rsid w:val="005B77DC"/>
    <w:rsid w:val="005B793A"/>
    <w:rsid w:val="005B7D6A"/>
    <w:rsid w:val="005C0026"/>
    <w:rsid w:val="005C43B9"/>
    <w:rsid w:val="005D3328"/>
    <w:rsid w:val="005D674A"/>
    <w:rsid w:val="005D6D99"/>
    <w:rsid w:val="005D7208"/>
    <w:rsid w:val="005D7422"/>
    <w:rsid w:val="005E7D62"/>
    <w:rsid w:val="005F4D5A"/>
    <w:rsid w:val="005F6013"/>
    <w:rsid w:val="005F63A6"/>
    <w:rsid w:val="005F7C3E"/>
    <w:rsid w:val="00600988"/>
    <w:rsid w:val="00600AD4"/>
    <w:rsid w:val="00603B60"/>
    <w:rsid w:val="00604BAA"/>
    <w:rsid w:val="006054DC"/>
    <w:rsid w:val="006067A9"/>
    <w:rsid w:val="00607897"/>
    <w:rsid w:val="006157CF"/>
    <w:rsid w:val="00616F36"/>
    <w:rsid w:val="00626626"/>
    <w:rsid w:val="00627DA3"/>
    <w:rsid w:val="0063527E"/>
    <w:rsid w:val="0063790C"/>
    <w:rsid w:val="006405C9"/>
    <w:rsid w:val="00642FC1"/>
    <w:rsid w:val="00643570"/>
    <w:rsid w:val="00644553"/>
    <w:rsid w:val="00645AEF"/>
    <w:rsid w:val="00653768"/>
    <w:rsid w:val="00657C1A"/>
    <w:rsid w:val="00657EE6"/>
    <w:rsid w:val="006666CE"/>
    <w:rsid w:val="00666708"/>
    <w:rsid w:val="00667AF3"/>
    <w:rsid w:val="00672D95"/>
    <w:rsid w:val="0067443B"/>
    <w:rsid w:val="0067470F"/>
    <w:rsid w:val="00681827"/>
    <w:rsid w:val="00682CAD"/>
    <w:rsid w:val="00683A0E"/>
    <w:rsid w:val="00693F6B"/>
    <w:rsid w:val="006971AC"/>
    <w:rsid w:val="006A0E3D"/>
    <w:rsid w:val="006A1960"/>
    <w:rsid w:val="006A5ED5"/>
    <w:rsid w:val="006B7A7A"/>
    <w:rsid w:val="006B7FA0"/>
    <w:rsid w:val="006C4D7A"/>
    <w:rsid w:val="006C5485"/>
    <w:rsid w:val="006C650F"/>
    <w:rsid w:val="006C7B27"/>
    <w:rsid w:val="006D121C"/>
    <w:rsid w:val="006D215F"/>
    <w:rsid w:val="006D2AC9"/>
    <w:rsid w:val="006D3C46"/>
    <w:rsid w:val="006D56E6"/>
    <w:rsid w:val="006D6982"/>
    <w:rsid w:val="006D7187"/>
    <w:rsid w:val="006E02C4"/>
    <w:rsid w:val="006E068A"/>
    <w:rsid w:val="006E2B17"/>
    <w:rsid w:val="006E2C39"/>
    <w:rsid w:val="006E3A78"/>
    <w:rsid w:val="006E4A93"/>
    <w:rsid w:val="006E4E55"/>
    <w:rsid w:val="007009F6"/>
    <w:rsid w:val="00702173"/>
    <w:rsid w:val="00703DD9"/>
    <w:rsid w:val="00704FB6"/>
    <w:rsid w:val="007056F4"/>
    <w:rsid w:val="00711F96"/>
    <w:rsid w:val="00712116"/>
    <w:rsid w:val="007167B4"/>
    <w:rsid w:val="0072052C"/>
    <w:rsid w:val="0072203C"/>
    <w:rsid w:val="0072313E"/>
    <w:rsid w:val="00723BFA"/>
    <w:rsid w:val="00733703"/>
    <w:rsid w:val="00741409"/>
    <w:rsid w:val="007436D0"/>
    <w:rsid w:val="00745F5B"/>
    <w:rsid w:val="00746DE3"/>
    <w:rsid w:val="00747C1B"/>
    <w:rsid w:val="0075556D"/>
    <w:rsid w:val="00760DB1"/>
    <w:rsid w:val="0076219B"/>
    <w:rsid w:val="00763BA0"/>
    <w:rsid w:val="00764763"/>
    <w:rsid w:val="00770561"/>
    <w:rsid w:val="0077169B"/>
    <w:rsid w:val="00775653"/>
    <w:rsid w:val="007826AF"/>
    <w:rsid w:val="00785840"/>
    <w:rsid w:val="007874B4"/>
    <w:rsid w:val="00790CAB"/>
    <w:rsid w:val="0079515E"/>
    <w:rsid w:val="00796EC6"/>
    <w:rsid w:val="0079705E"/>
    <w:rsid w:val="007A1488"/>
    <w:rsid w:val="007A149A"/>
    <w:rsid w:val="007A284A"/>
    <w:rsid w:val="007A3212"/>
    <w:rsid w:val="007A589E"/>
    <w:rsid w:val="007A67EC"/>
    <w:rsid w:val="007B299E"/>
    <w:rsid w:val="007B45DB"/>
    <w:rsid w:val="007B54E7"/>
    <w:rsid w:val="007B56A2"/>
    <w:rsid w:val="007B63A8"/>
    <w:rsid w:val="007C03A8"/>
    <w:rsid w:val="007C0619"/>
    <w:rsid w:val="007C1E3E"/>
    <w:rsid w:val="007C4173"/>
    <w:rsid w:val="007C5875"/>
    <w:rsid w:val="007C6812"/>
    <w:rsid w:val="007D2B3B"/>
    <w:rsid w:val="007E549C"/>
    <w:rsid w:val="007E7FE3"/>
    <w:rsid w:val="007F256C"/>
    <w:rsid w:val="007F3B93"/>
    <w:rsid w:val="007F3D77"/>
    <w:rsid w:val="007F3D7A"/>
    <w:rsid w:val="007F3DA7"/>
    <w:rsid w:val="007F46B8"/>
    <w:rsid w:val="00804DF2"/>
    <w:rsid w:val="00806569"/>
    <w:rsid w:val="00811C12"/>
    <w:rsid w:val="00811C9E"/>
    <w:rsid w:val="00813002"/>
    <w:rsid w:val="008143F8"/>
    <w:rsid w:val="008146B0"/>
    <w:rsid w:val="00815BCF"/>
    <w:rsid w:val="00815E90"/>
    <w:rsid w:val="008174E1"/>
    <w:rsid w:val="008265A6"/>
    <w:rsid w:val="00827862"/>
    <w:rsid w:val="008306C6"/>
    <w:rsid w:val="00830B3C"/>
    <w:rsid w:val="008324AD"/>
    <w:rsid w:val="0083374A"/>
    <w:rsid w:val="00837078"/>
    <w:rsid w:val="00837D99"/>
    <w:rsid w:val="00842719"/>
    <w:rsid w:val="00853E32"/>
    <w:rsid w:val="00854215"/>
    <w:rsid w:val="00854DCB"/>
    <w:rsid w:val="008605FF"/>
    <w:rsid w:val="0086101F"/>
    <w:rsid w:val="008636E9"/>
    <w:rsid w:val="00865AB8"/>
    <w:rsid w:val="00866EC1"/>
    <w:rsid w:val="00870917"/>
    <w:rsid w:val="0087710A"/>
    <w:rsid w:val="0088139B"/>
    <w:rsid w:val="00881BEC"/>
    <w:rsid w:val="00882AEC"/>
    <w:rsid w:val="00884C73"/>
    <w:rsid w:val="0088542F"/>
    <w:rsid w:val="00894A4C"/>
    <w:rsid w:val="00894D72"/>
    <w:rsid w:val="008A1DE7"/>
    <w:rsid w:val="008B0619"/>
    <w:rsid w:val="008C49EA"/>
    <w:rsid w:val="008C5684"/>
    <w:rsid w:val="008C7D5E"/>
    <w:rsid w:val="008D01CA"/>
    <w:rsid w:val="008D21A8"/>
    <w:rsid w:val="008D5787"/>
    <w:rsid w:val="008D60CC"/>
    <w:rsid w:val="008E4E8D"/>
    <w:rsid w:val="008F185A"/>
    <w:rsid w:val="008F641A"/>
    <w:rsid w:val="008F673D"/>
    <w:rsid w:val="008F68E4"/>
    <w:rsid w:val="009021BD"/>
    <w:rsid w:val="00902DB6"/>
    <w:rsid w:val="00903B7F"/>
    <w:rsid w:val="0091409F"/>
    <w:rsid w:val="0091718B"/>
    <w:rsid w:val="00921FBA"/>
    <w:rsid w:val="00921FCF"/>
    <w:rsid w:val="00935936"/>
    <w:rsid w:val="009473D7"/>
    <w:rsid w:val="009477C1"/>
    <w:rsid w:val="00947C2A"/>
    <w:rsid w:val="0095061A"/>
    <w:rsid w:val="0095189D"/>
    <w:rsid w:val="00952E74"/>
    <w:rsid w:val="0095530C"/>
    <w:rsid w:val="00960F6C"/>
    <w:rsid w:val="00962AC4"/>
    <w:rsid w:val="00962C24"/>
    <w:rsid w:val="00967062"/>
    <w:rsid w:val="00967397"/>
    <w:rsid w:val="0097168B"/>
    <w:rsid w:val="00975C76"/>
    <w:rsid w:val="009811F2"/>
    <w:rsid w:val="00981F76"/>
    <w:rsid w:val="00990698"/>
    <w:rsid w:val="00995E75"/>
    <w:rsid w:val="009975E6"/>
    <w:rsid w:val="009A0477"/>
    <w:rsid w:val="009A4070"/>
    <w:rsid w:val="009B0E64"/>
    <w:rsid w:val="009B200F"/>
    <w:rsid w:val="009B3076"/>
    <w:rsid w:val="009B6584"/>
    <w:rsid w:val="009C0049"/>
    <w:rsid w:val="009C1D89"/>
    <w:rsid w:val="009C4821"/>
    <w:rsid w:val="009D0471"/>
    <w:rsid w:val="009D7ADD"/>
    <w:rsid w:val="009E1F24"/>
    <w:rsid w:val="009E2257"/>
    <w:rsid w:val="009E6A8C"/>
    <w:rsid w:val="009F3D01"/>
    <w:rsid w:val="009F3EF8"/>
    <w:rsid w:val="009F474E"/>
    <w:rsid w:val="009F4F34"/>
    <w:rsid w:val="00A00702"/>
    <w:rsid w:val="00A0212B"/>
    <w:rsid w:val="00A03170"/>
    <w:rsid w:val="00A07419"/>
    <w:rsid w:val="00A11054"/>
    <w:rsid w:val="00A12D4E"/>
    <w:rsid w:val="00A157A2"/>
    <w:rsid w:val="00A15BE3"/>
    <w:rsid w:val="00A165CB"/>
    <w:rsid w:val="00A211B6"/>
    <w:rsid w:val="00A218F2"/>
    <w:rsid w:val="00A21D30"/>
    <w:rsid w:val="00A26C2F"/>
    <w:rsid w:val="00A4197A"/>
    <w:rsid w:val="00A42351"/>
    <w:rsid w:val="00A53642"/>
    <w:rsid w:val="00A559A1"/>
    <w:rsid w:val="00A56902"/>
    <w:rsid w:val="00A65124"/>
    <w:rsid w:val="00A666F1"/>
    <w:rsid w:val="00A74FF2"/>
    <w:rsid w:val="00A76386"/>
    <w:rsid w:val="00A7712C"/>
    <w:rsid w:val="00A77EFB"/>
    <w:rsid w:val="00A80F3E"/>
    <w:rsid w:val="00A84B9D"/>
    <w:rsid w:val="00A87E89"/>
    <w:rsid w:val="00A91196"/>
    <w:rsid w:val="00A91AE3"/>
    <w:rsid w:val="00A93A6B"/>
    <w:rsid w:val="00A95F72"/>
    <w:rsid w:val="00A962ED"/>
    <w:rsid w:val="00A97FE3"/>
    <w:rsid w:val="00AB5972"/>
    <w:rsid w:val="00AC3316"/>
    <w:rsid w:val="00AC58D1"/>
    <w:rsid w:val="00AC65AF"/>
    <w:rsid w:val="00AD1FB3"/>
    <w:rsid w:val="00AD22E2"/>
    <w:rsid w:val="00AD3CDB"/>
    <w:rsid w:val="00AD6D51"/>
    <w:rsid w:val="00AE1466"/>
    <w:rsid w:val="00AE36D3"/>
    <w:rsid w:val="00AE7609"/>
    <w:rsid w:val="00AF0147"/>
    <w:rsid w:val="00AF0502"/>
    <w:rsid w:val="00AF22C8"/>
    <w:rsid w:val="00AF24FC"/>
    <w:rsid w:val="00AF4C64"/>
    <w:rsid w:val="00AF68A8"/>
    <w:rsid w:val="00AF6C1D"/>
    <w:rsid w:val="00B00C05"/>
    <w:rsid w:val="00B01485"/>
    <w:rsid w:val="00B04CCF"/>
    <w:rsid w:val="00B156C7"/>
    <w:rsid w:val="00B1624A"/>
    <w:rsid w:val="00B24199"/>
    <w:rsid w:val="00B253AA"/>
    <w:rsid w:val="00B26108"/>
    <w:rsid w:val="00B268C5"/>
    <w:rsid w:val="00B34111"/>
    <w:rsid w:val="00B443A9"/>
    <w:rsid w:val="00B46C5B"/>
    <w:rsid w:val="00B46DF6"/>
    <w:rsid w:val="00B5059A"/>
    <w:rsid w:val="00B5442A"/>
    <w:rsid w:val="00B550BF"/>
    <w:rsid w:val="00B55BE7"/>
    <w:rsid w:val="00B5686C"/>
    <w:rsid w:val="00B573CE"/>
    <w:rsid w:val="00B63D15"/>
    <w:rsid w:val="00B66B3E"/>
    <w:rsid w:val="00B728B3"/>
    <w:rsid w:val="00B77AA8"/>
    <w:rsid w:val="00B804CB"/>
    <w:rsid w:val="00B809E1"/>
    <w:rsid w:val="00B81D87"/>
    <w:rsid w:val="00B82FAA"/>
    <w:rsid w:val="00B8347C"/>
    <w:rsid w:val="00B8635E"/>
    <w:rsid w:val="00B86489"/>
    <w:rsid w:val="00B8759A"/>
    <w:rsid w:val="00B908B5"/>
    <w:rsid w:val="00B915D7"/>
    <w:rsid w:val="00B920DD"/>
    <w:rsid w:val="00B92F04"/>
    <w:rsid w:val="00B93142"/>
    <w:rsid w:val="00B978CD"/>
    <w:rsid w:val="00BA106E"/>
    <w:rsid w:val="00BA1C55"/>
    <w:rsid w:val="00BA2636"/>
    <w:rsid w:val="00BA56E6"/>
    <w:rsid w:val="00BA6C35"/>
    <w:rsid w:val="00BB43D0"/>
    <w:rsid w:val="00BC275C"/>
    <w:rsid w:val="00BC623C"/>
    <w:rsid w:val="00BD09F8"/>
    <w:rsid w:val="00BD29F6"/>
    <w:rsid w:val="00BD3E98"/>
    <w:rsid w:val="00BD3EA8"/>
    <w:rsid w:val="00BE27A7"/>
    <w:rsid w:val="00BE47D4"/>
    <w:rsid w:val="00BF0784"/>
    <w:rsid w:val="00BF18AF"/>
    <w:rsid w:val="00BF3AED"/>
    <w:rsid w:val="00BF48E5"/>
    <w:rsid w:val="00BF51EB"/>
    <w:rsid w:val="00C006AB"/>
    <w:rsid w:val="00C03189"/>
    <w:rsid w:val="00C04FA0"/>
    <w:rsid w:val="00C0784F"/>
    <w:rsid w:val="00C10E43"/>
    <w:rsid w:val="00C118E3"/>
    <w:rsid w:val="00C124ED"/>
    <w:rsid w:val="00C1340F"/>
    <w:rsid w:val="00C15FBB"/>
    <w:rsid w:val="00C1750F"/>
    <w:rsid w:val="00C21C6E"/>
    <w:rsid w:val="00C2227C"/>
    <w:rsid w:val="00C23F04"/>
    <w:rsid w:val="00C24045"/>
    <w:rsid w:val="00C26164"/>
    <w:rsid w:val="00C344AB"/>
    <w:rsid w:val="00C36969"/>
    <w:rsid w:val="00C377D2"/>
    <w:rsid w:val="00C40E75"/>
    <w:rsid w:val="00C41777"/>
    <w:rsid w:val="00C41CAF"/>
    <w:rsid w:val="00C41FBE"/>
    <w:rsid w:val="00C43A70"/>
    <w:rsid w:val="00C50043"/>
    <w:rsid w:val="00C54F07"/>
    <w:rsid w:val="00C601B5"/>
    <w:rsid w:val="00C63205"/>
    <w:rsid w:val="00C63698"/>
    <w:rsid w:val="00C655AC"/>
    <w:rsid w:val="00C67184"/>
    <w:rsid w:val="00C755DD"/>
    <w:rsid w:val="00C82B7E"/>
    <w:rsid w:val="00C843F9"/>
    <w:rsid w:val="00C90844"/>
    <w:rsid w:val="00C90F06"/>
    <w:rsid w:val="00C910F9"/>
    <w:rsid w:val="00C91CF1"/>
    <w:rsid w:val="00C93EF8"/>
    <w:rsid w:val="00C944D6"/>
    <w:rsid w:val="00C96A54"/>
    <w:rsid w:val="00CA0241"/>
    <w:rsid w:val="00CA2454"/>
    <w:rsid w:val="00CA2EE5"/>
    <w:rsid w:val="00CA353D"/>
    <w:rsid w:val="00CA403C"/>
    <w:rsid w:val="00CA4E41"/>
    <w:rsid w:val="00CA6E37"/>
    <w:rsid w:val="00CA6F8C"/>
    <w:rsid w:val="00CA7641"/>
    <w:rsid w:val="00CB041E"/>
    <w:rsid w:val="00CB422D"/>
    <w:rsid w:val="00CB44DC"/>
    <w:rsid w:val="00CB47AF"/>
    <w:rsid w:val="00CB5E1D"/>
    <w:rsid w:val="00CB74D7"/>
    <w:rsid w:val="00CC1A58"/>
    <w:rsid w:val="00CC2A04"/>
    <w:rsid w:val="00CC5150"/>
    <w:rsid w:val="00CC7AB0"/>
    <w:rsid w:val="00CD01C4"/>
    <w:rsid w:val="00CD036E"/>
    <w:rsid w:val="00CD07DF"/>
    <w:rsid w:val="00CD7508"/>
    <w:rsid w:val="00CE119E"/>
    <w:rsid w:val="00CE49AC"/>
    <w:rsid w:val="00CE66BC"/>
    <w:rsid w:val="00CE68D6"/>
    <w:rsid w:val="00CF4C65"/>
    <w:rsid w:val="00CF4DAE"/>
    <w:rsid w:val="00CF69FE"/>
    <w:rsid w:val="00D001D7"/>
    <w:rsid w:val="00D027F8"/>
    <w:rsid w:val="00D11E65"/>
    <w:rsid w:val="00D17244"/>
    <w:rsid w:val="00D22BA4"/>
    <w:rsid w:val="00D260A8"/>
    <w:rsid w:val="00D34B4E"/>
    <w:rsid w:val="00D34DAF"/>
    <w:rsid w:val="00D370B1"/>
    <w:rsid w:val="00D375A6"/>
    <w:rsid w:val="00D40976"/>
    <w:rsid w:val="00D415A7"/>
    <w:rsid w:val="00D4573E"/>
    <w:rsid w:val="00D46C3F"/>
    <w:rsid w:val="00D472F1"/>
    <w:rsid w:val="00D51496"/>
    <w:rsid w:val="00D5526B"/>
    <w:rsid w:val="00D602CF"/>
    <w:rsid w:val="00D61802"/>
    <w:rsid w:val="00D62D13"/>
    <w:rsid w:val="00D6433A"/>
    <w:rsid w:val="00D664DE"/>
    <w:rsid w:val="00D66B1F"/>
    <w:rsid w:val="00D66E27"/>
    <w:rsid w:val="00D74BBA"/>
    <w:rsid w:val="00D808A3"/>
    <w:rsid w:val="00D82E73"/>
    <w:rsid w:val="00D82FF4"/>
    <w:rsid w:val="00D85B9F"/>
    <w:rsid w:val="00D93923"/>
    <w:rsid w:val="00D959EA"/>
    <w:rsid w:val="00D974EC"/>
    <w:rsid w:val="00DA0B4C"/>
    <w:rsid w:val="00DA159D"/>
    <w:rsid w:val="00DA700F"/>
    <w:rsid w:val="00DB01D1"/>
    <w:rsid w:val="00DB2B52"/>
    <w:rsid w:val="00DB2BCB"/>
    <w:rsid w:val="00DB3734"/>
    <w:rsid w:val="00DC1ED5"/>
    <w:rsid w:val="00DC27DE"/>
    <w:rsid w:val="00DC5CE4"/>
    <w:rsid w:val="00DC6233"/>
    <w:rsid w:val="00DC71A9"/>
    <w:rsid w:val="00DC76D4"/>
    <w:rsid w:val="00DD0EBC"/>
    <w:rsid w:val="00DD1235"/>
    <w:rsid w:val="00DD29DB"/>
    <w:rsid w:val="00DD5193"/>
    <w:rsid w:val="00DD72A7"/>
    <w:rsid w:val="00DD7E83"/>
    <w:rsid w:val="00DE5FEE"/>
    <w:rsid w:val="00DE612D"/>
    <w:rsid w:val="00DF5B17"/>
    <w:rsid w:val="00DF759C"/>
    <w:rsid w:val="00E00675"/>
    <w:rsid w:val="00E02B53"/>
    <w:rsid w:val="00E046F3"/>
    <w:rsid w:val="00E0709E"/>
    <w:rsid w:val="00E10C02"/>
    <w:rsid w:val="00E142B4"/>
    <w:rsid w:val="00E14401"/>
    <w:rsid w:val="00E15A88"/>
    <w:rsid w:val="00E208C0"/>
    <w:rsid w:val="00E20E5C"/>
    <w:rsid w:val="00E21124"/>
    <w:rsid w:val="00E211BC"/>
    <w:rsid w:val="00E21BDA"/>
    <w:rsid w:val="00E23EA6"/>
    <w:rsid w:val="00E25804"/>
    <w:rsid w:val="00E27C66"/>
    <w:rsid w:val="00E321AB"/>
    <w:rsid w:val="00E353EC"/>
    <w:rsid w:val="00E3699B"/>
    <w:rsid w:val="00E369F3"/>
    <w:rsid w:val="00E37108"/>
    <w:rsid w:val="00E37D4F"/>
    <w:rsid w:val="00E41B8C"/>
    <w:rsid w:val="00E42881"/>
    <w:rsid w:val="00E44D12"/>
    <w:rsid w:val="00E47E5A"/>
    <w:rsid w:val="00E51063"/>
    <w:rsid w:val="00E52B4E"/>
    <w:rsid w:val="00E5314A"/>
    <w:rsid w:val="00E555B9"/>
    <w:rsid w:val="00E57B0B"/>
    <w:rsid w:val="00E57EA1"/>
    <w:rsid w:val="00E6063F"/>
    <w:rsid w:val="00E63AC5"/>
    <w:rsid w:val="00E65A90"/>
    <w:rsid w:val="00E67050"/>
    <w:rsid w:val="00E7200C"/>
    <w:rsid w:val="00E81E03"/>
    <w:rsid w:val="00E86812"/>
    <w:rsid w:val="00E87A8E"/>
    <w:rsid w:val="00E940C6"/>
    <w:rsid w:val="00E9680C"/>
    <w:rsid w:val="00EA028F"/>
    <w:rsid w:val="00EA27BF"/>
    <w:rsid w:val="00EA7B9E"/>
    <w:rsid w:val="00EB1FE7"/>
    <w:rsid w:val="00EB2828"/>
    <w:rsid w:val="00EB6CB4"/>
    <w:rsid w:val="00EB789C"/>
    <w:rsid w:val="00EC56EA"/>
    <w:rsid w:val="00EC653F"/>
    <w:rsid w:val="00EC7372"/>
    <w:rsid w:val="00ED1545"/>
    <w:rsid w:val="00ED58BE"/>
    <w:rsid w:val="00EE338F"/>
    <w:rsid w:val="00EE6D4E"/>
    <w:rsid w:val="00EF005A"/>
    <w:rsid w:val="00EF1807"/>
    <w:rsid w:val="00EF4C51"/>
    <w:rsid w:val="00F02537"/>
    <w:rsid w:val="00F06D19"/>
    <w:rsid w:val="00F07968"/>
    <w:rsid w:val="00F10812"/>
    <w:rsid w:val="00F116E7"/>
    <w:rsid w:val="00F1186E"/>
    <w:rsid w:val="00F11B79"/>
    <w:rsid w:val="00F12504"/>
    <w:rsid w:val="00F157C0"/>
    <w:rsid w:val="00F1679C"/>
    <w:rsid w:val="00F25325"/>
    <w:rsid w:val="00F268EB"/>
    <w:rsid w:val="00F26BAC"/>
    <w:rsid w:val="00F304D9"/>
    <w:rsid w:val="00F332BD"/>
    <w:rsid w:val="00F332E4"/>
    <w:rsid w:val="00F41AA0"/>
    <w:rsid w:val="00F44028"/>
    <w:rsid w:val="00F52FA5"/>
    <w:rsid w:val="00F54F30"/>
    <w:rsid w:val="00F551A6"/>
    <w:rsid w:val="00F57565"/>
    <w:rsid w:val="00F57F51"/>
    <w:rsid w:val="00F62D77"/>
    <w:rsid w:val="00F63332"/>
    <w:rsid w:val="00F65213"/>
    <w:rsid w:val="00F71256"/>
    <w:rsid w:val="00F7502A"/>
    <w:rsid w:val="00F75736"/>
    <w:rsid w:val="00F7733B"/>
    <w:rsid w:val="00F829B8"/>
    <w:rsid w:val="00F84BB4"/>
    <w:rsid w:val="00F859BC"/>
    <w:rsid w:val="00F867DE"/>
    <w:rsid w:val="00F87209"/>
    <w:rsid w:val="00F92E43"/>
    <w:rsid w:val="00F93175"/>
    <w:rsid w:val="00F93648"/>
    <w:rsid w:val="00F96DB5"/>
    <w:rsid w:val="00FA00B1"/>
    <w:rsid w:val="00FA1A9C"/>
    <w:rsid w:val="00FA77DE"/>
    <w:rsid w:val="00FA7A3B"/>
    <w:rsid w:val="00FB0043"/>
    <w:rsid w:val="00FB023B"/>
    <w:rsid w:val="00FB05E6"/>
    <w:rsid w:val="00FB1517"/>
    <w:rsid w:val="00FB3F71"/>
    <w:rsid w:val="00FB6184"/>
    <w:rsid w:val="00FB67C5"/>
    <w:rsid w:val="00FB71BC"/>
    <w:rsid w:val="00FC26BB"/>
    <w:rsid w:val="00FC3724"/>
    <w:rsid w:val="00FC6FC0"/>
    <w:rsid w:val="00FD1D32"/>
    <w:rsid w:val="00FD7582"/>
    <w:rsid w:val="00FE0990"/>
    <w:rsid w:val="00FE30CD"/>
    <w:rsid w:val="00FE5633"/>
    <w:rsid w:val="00FE69FF"/>
    <w:rsid w:val="00FE7072"/>
    <w:rsid w:val="00FF0600"/>
    <w:rsid w:val="00FF697F"/>
    <w:rsid w:val="017B4D33"/>
    <w:rsid w:val="021235C4"/>
    <w:rsid w:val="04557E09"/>
    <w:rsid w:val="06863A8A"/>
    <w:rsid w:val="083F6C66"/>
    <w:rsid w:val="0CFC7CCC"/>
    <w:rsid w:val="10EB1CA3"/>
    <w:rsid w:val="2007440F"/>
    <w:rsid w:val="30047E34"/>
    <w:rsid w:val="30C65CD1"/>
    <w:rsid w:val="32702905"/>
    <w:rsid w:val="36860CF1"/>
    <w:rsid w:val="38D85B4E"/>
    <w:rsid w:val="39EB0688"/>
    <w:rsid w:val="40F8281B"/>
    <w:rsid w:val="41A00B44"/>
    <w:rsid w:val="44E04A0D"/>
    <w:rsid w:val="47C20F82"/>
    <w:rsid w:val="4B8D1C91"/>
    <w:rsid w:val="5CDA5333"/>
    <w:rsid w:val="5DEE148C"/>
    <w:rsid w:val="61456CBC"/>
    <w:rsid w:val="6372606D"/>
    <w:rsid w:val="6BF96D1C"/>
    <w:rsid w:val="6E0634E4"/>
    <w:rsid w:val="6EFCD273"/>
    <w:rsid w:val="711707F9"/>
    <w:rsid w:val="71C70FEF"/>
    <w:rsid w:val="728709A0"/>
    <w:rsid w:val="77564CB9"/>
    <w:rsid w:val="7764E7C4"/>
    <w:rsid w:val="77CB1867"/>
    <w:rsid w:val="77DFCB38"/>
    <w:rsid w:val="78FE5936"/>
    <w:rsid w:val="7AB10C03"/>
    <w:rsid w:val="7AD21D8C"/>
    <w:rsid w:val="7BE90AC1"/>
    <w:rsid w:val="7EF062BE"/>
    <w:rsid w:val="7F1A23D6"/>
    <w:rsid w:val="932F2D07"/>
    <w:rsid w:val="9FEF1288"/>
    <w:rsid w:val="B8EB75BA"/>
    <w:rsid w:val="CFF3B0F3"/>
    <w:rsid w:val="EFD7CC26"/>
    <w:rsid w:val="F7FD2EFE"/>
    <w:rsid w:val="FBDB6D67"/>
    <w:rsid w:val="FE3EBB74"/>
    <w:rsid w:val="FE7FB8CD"/>
    <w:rsid w:val="FFFB0527"/>
    <w:rsid w:val="FFFB9E7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9"/>
    <w:autoRedefine/>
    <w:qFormat/>
    <w:uiPriority w:val="0"/>
    <w:pPr>
      <w:keepNext/>
      <w:ind w:firstLine="425"/>
      <w:outlineLvl w:val="0"/>
    </w:pPr>
    <w:rPr>
      <w:b/>
      <w:bCs/>
      <w:i/>
      <w:iCs/>
      <w:sz w:val="52"/>
      <w:szCs w:val="20"/>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240" w:lineRule="auto"/>
      <w:ind w:left="420" w:leftChars="200" w:firstLineChars="200"/>
    </w:pPr>
    <w:rPr>
      <w:sz w:val="21"/>
    </w:rPr>
  </w:style>
  <w:style w:type="paragraph" w:styleId="3">
    <w:name w:val="Body Text Indent"/>
    <w:basedOn w:val="1"/>
    <w:next w:val="4"/>
    <w:link w:val="41"/>
    <w:autoRedefine/>
    <w:qFormat/>
    <w:uiPriority w:val="0"/>
    <w:pPr>
      <w:spacing w:line="360" w:lineRule="auto"/>
      <w:ind w:firstLine="420"/>
    </w:pPr>
    <w:rPr>
      <w:sz w:val="24"/>
    </w:rPr>
  </w:style>
  <w:style w:type="paragraph" w:styleId="4">
    <w:name w:val="Normal Indent"/>
    <w:basedOn w:val="1"/>
    <w:next w:val="3"/>
    <w:autoRedefine/>
    <w:qFormat/>
    <w:uiPriority w:val="0"/>
    <w:pPr>
      <w:ind w:firstLine="420"/>
    </w:pPr>
    <w:rPr>
      <w:szCs w:val="20"/>
    </w:rPr>
  </w:style>
  <w:style w:type="paragraph" w:styleId="8">
    <w:name w:val="List Number"/>
    <w:basedOn w:val="1"/>
    <w:autoRedefine/>
    <w:qFormat/>
    <w:uiPriority w:val="0"/>
    <w:pPr>
      <w:widowControl/>
      <w:tabs>
        <w:tab w:val="left" w:pos="454"/>
        <w:tab w:val="left" w:pos="720"/>
      </w:tabs>
      <w:spacing w:afterLines="50"/>
      <w:ind w:left="454" w:hanging="284"/>
      <w:jc w:val="left"/>
    </w:pPr>
    <w:rPr>
      <w:kern w:val="0"/>
      <w:sz w:val="24"/>
      <w:szCs w:val="20"/>
    </w:rPr>
  </w:style>
  <w:style w:type="paragraph" w:styleId="9">
    <w:name w:val="caption"/>
    <w:basedOn w:val="1"/>
    <w:next w:val="1"/>
    <w:autoRedefine/>
    <w:qFormat/>
    <w:uiPriority w:val="0"/>
    <w:pPr>
      <w:spacing w:before="152" w:after="160"/>
    </w:pPr>
    <w:rPr>
      <w:rFonts w:ascii="Arial" w:hAnsi="Arial" w:eastAsia="黑体" w:cs="Arial"/>
      <w:sz w:val="20"/>
      <w:szCs w:val="20"/>
    </w:rPr>
  </w:style>
  <w:style w:type="paragraph" w:styleId="10">
    <w:name w:val="Document Map"/>
    <w:basedOn w:val="1"/>
    <w:autoRedefine/>
    <w:qFormat/>
    <w:uiPriority w:val="0"/>
    <w:pPr>
      <w:shd w:val="clear" w:color="auto" w:fill="000080"/>
    </w:pPr>
  </w:style>
  <w:style w:type="paragraph" w:styleId="11">
    <w:name w:val="annotation text"/>
    <w:basedOn w:val="1"/>
    <w:link w:val="55"/>
    <w:autoRedefine/>
    <w:unhideWhenUsed/>
    <w:qFormat/>
    <w:uiPriority w:val="99"/>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4"/>
    <w:autoRedefine/>
    <w:qFormat/>
    <w:uiPriority w:val="0"/>
    <w:pPr>
      <w:spacing w:after="120"/>
    </w:pPr>
  </w:style>
  <w:style w:type="paragraph" w:styleId="14">
    <w:name w:val="Body Text First Indent"/>
    <w:basedOn w:val="13"/>
    <w:next w:val="1"/>
    <w:autoRedefine/>
    <w:qFormat/>
    <w:uiPriority w:val="0"/>
    <w:pPr>
      <w:ind w:firstLine="420"/>
    </w:pPr>
  </w:style>
  <w:style w:type="paragraph" w:styleId="15">
    <w:name w:val="List Number 3"/>
    <w:basedOn w:val="1"/>
    <w:autoRedefine/>
    <w:qFormat/>
    <w:uiPriority w:val="0"/>
    <w:pPr>
      <w:tabs>
        <w:tab w:val="left" w:pos="1200"/>
      </w:tabs>
      <w:ind w:left="1200" w:leftChars="400" w:hanging="360" w:hangingChars="200"/>
    </w:pPr>
  </w:style>
  <w:style w:type="paragraph" w:styleId="16">
    <w:name w:val="List 2"/>
    <w:basedOn w:val="1"/>
    <w:autoRedefine/>
    <w:qFormat/>
    <w:uiPriority w:val="0"/>
    <w:pPr>
      <w:ind w:left="100" w:leftChars="200" w:hanging="200" w:hangingChars="200"/>
    </w:pPr>
  </w:style>
  <w:style w:type="paragraph" w:styleId="17">
    <w:name w:val="toc 3"/>
    <w:basedOn w:val="1"/>
    <w:next w:val="1"/>
    <w:autoRedefine/>
    <w:qFormat/>
    <w:uiPriority w:val="39"/>
    <w:pPr>
      <w:ind w:left="840" w:leftChars="400"/>
    </w:pPr>
  </w:style>
  <w:style w:type="paragraph" w:styleId="18">
    <w:name w:val="Plain Text"/>
    <w:basedOn w:val="1"/>
    <w:link w:val="37"/>
    <w:autoRedefine/>
    <w:qFormat/>
    <w:uiPriority w:val="0"/>
    <w:pPr>
      <w:spacing w:beforeLines="50" w:afterLines="50" w:line="400" w:lineRule="exact"/>
    </w:pPr>
    <w:rPr>
      <w:rFonts w:ascii="宋体" w:hAnsi="Courier New"/>
      <w:sz w:val="24"/>
    </w:rPr>
  </w:style>
  <w:style w:type="paragraph" w:styleId="19">
    <w:name w:val="Date"/>
    <w:basedOn w:val="1"/>
    <w:next w:val="1"/>
    <w:autoRedefine/>
    <w:qFormat/>
    <w:uiPriority w:val="0"/>
    <w:pPr>
      <w:ind w:left="100" w:leftChars="2500"/>
    </w:pPr>
  </w:style>
  <w:style w:type="paragraph" w:styleId="20">
    <w:name w:val="Body Text Indent 2"/>
    <w:basedOn w:val="1"/>
    <w:autoRedefine/>
    <w:qFormat/>
    <w:uiPriority w:val="0"/>
    <w:pPr>
      <w:snapToGrid w:val="0"/>
      <w:ind w:firstLine="542" w:firstLineChars="225"/>
    </w:pPr>
    <w:rPr>
      <w:rFonts w:ascii="仿宋_GB2312" w:hAnsi="宋体" w:cs="Arial"/>
      <w:b/>
      <w:bCs/>
      <w:color w:val="000000"/>
      <w:sz w:val="24"/>
    </w:rPr>
  </w:style>
  <w:style w:type="paragraph" w:styleId="21">
    <w:name w:val="Balloon Text"/>
    <w:basedOn w:val="1"/>
    <w:autoRedefine/>
    <w:qFormat/>
    <w:uiPriority w:val="0"/>
    <w:rPr>
      <w:sz w:val="18"/>
      <w:szCs w:val="18"/>
    </w:rPr>
  </w:style>
  <w:style w:type="paragraph" w:styleId="22">
    <w:name w:val="footer"/>
    <w:basedOn w:val="1"/>
    <w:link w:val="38"/>
    <w:autoRedefine/>
    <w:qFormat/>
    <w:uiPriority w:val="0"/>
    <w:pPr>
      <w:tabs>
        <w:tab w:val="center" w:pos="4153"/>
        <w:tab w:val="right" w:pos="8306"/>
      </w:tabs>
      <w:snapToGrid w:val="0"/>
      <w:jc w:val="left"/>
    </w:pPr>
    <w:rPr>
      <w:rFonts w:ascii="Calibri" w:hAnsi="Calibri"/>
      <w:sz w:val="18"/>
      <w:szCs w:val="18"/>
    </w:rPr>
  </w:style>
  <w:style w:type="paragraph" w:styleId="23">
    <w:name w:val="header"/>
    <w:basedOn w:val="1"/>
    <w:link w:val="42"/>
    <w:autoRedefine/>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4">
    <w:name w:val="toc 1"/>
    <w:basedOn w:val="1"/>
    <w:next w:val="1"/>
    <w:autoRedefine/>
    <w:qFormat/>
    <w:uiPriority w:val="39"/>
    <w:pPr>
      <w:tabs>
        <w:tab w:val="right" w:leader="dot" w:pos="8630"/>
      </w:tabs>
      <w:spacing w:line="540" w:lineRule="exact"/>
    </w:pPr>
  </w:style>
  <w:style w:type="paragraph" w:styleId="25">
    <w:name w:val="List"/>
    <w:basedOn w:val="1"/>
    <w:autoRedefine/>
    <w:qFormat/>
    <w:uiPriority w:val="0"/>
    <w:pPr>
      <w:ind w:left="200" w:hanging="200" w:hangingChars="200"/>
    </w:pPr>
  </w:style>
  <w:style w:type="paragraph" w:styleId="26">
    <w:name w:val="Body Text Indent 3"/>
    <w:basedOn w:val="1"/>
    <w:autoRedefine/>
    <w:qFormat/>
    <w:uiPriority w:val="0"/>
    <w:pPr>
      <w:spacing w:after="120"/>
      <w:ind w:left="420" w:leftChars="200"/>
    </w:pPr>
    <w:rPr>
      <w:sz w:val="16"/>
      <w:szCs w:val="16"/>
    </w:rPr>
  </w:style>
  <w:style w:type="paragraph" w:styleId="27">
    <w:name w:val="toc 2"/>
    <w:basedOn w:val="1"/>
    <w:next w:val="1"/>
    <w:autoRedefine/>
    <w:qFormat/>
    <w:uiPriority w:val="39"/>
    <w:pPr>
      <w:ind w:left="420" w:leftChars="200"/>
    </w:pPr>
  </w:style>
  <w:style w:type="paragraph" w:styleId="28">
    <w:name w:val="Body Text 2"/>
    <w:basedOn w:val="1"/>
    <w:autoRedefine/>
    <w:qFormat/>
    <w:uiPriority w:val="0"/>
    <w:pPr>
      <w:spacing w:after="120" w:line="480" w:lineRule="auto"/>
    </w:pPr>
  </w:style>
  <w:style w:type="paragraph" w:styleId="2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1">
    <w:name w:val="annotation subject"/>
    <w:basedOn w:val="11"/>
    <w:next w:val="11"/>
    <w:link w:val="56"/>
    <w:autoRedefine/>
    <w:semiHidden/>
    <w:unhideWhenUsed/>
    <w:qFormat/>
    <w:uiPriority w:val="99"/>
    <w:rPr>
      <w:b/>
      <w:bCs/>
    </w:rPr>
  </w:style>
  <w:style w:type="character" w:styleId="34">
    <w:name w:val="page number"/>
    <w:basedOn w:val="33"/>
    <w:autoRedefine/>
    <w:qFormat/>
    <w:uiPriority w:val="0"/>
  </w:style>
  <w:style w:type="character" w:styleId="35">
    <w:name w:val="Hyperlink"/>
    <w:autoRedefine/>
    <w:qFormat/>
    <w:uiPriority w:val="99"/>
    <w:rPr>
      <w:color w:val="0000FF"/>
      <w:u w:val="single"/>
    </w:rPr>
  </w:style>
  <w:style w:type="character" w:styleId="36">
    <w:name w:val="annotation reference"/>
    <w:autoRedefine/>
    <w:qFormat/>
    <w:uiPriority w:val="0"/>
    <w:rPr>
      <w:sz w:val="21"/>
      <w:szCs w:val="21"/>
    </w:rPr>
  </w:style>
  <w:style w:type="character" w:customStyle="1" w:styleId="37">
    <w:name w:val="纯文本 Char"/>
    <w:link w:val="18"/>
    <w:autoRedefine/>
    <w:qFormat/>
    <w:uiPriority w:val="0"/>
    <w:rPr>
      <w:rFonts w:ascii="宋体" w:hAnsi="Courier New" w:eastAsia="宋体"/>
      <w:kern w:val="2"/>
      <w:sz w:val="24"/>
      <w:szCs w:val="24"/>
      <w:lang w:val="en-US" w:eastAsia="zh-CN" w:bidi="ar-SA"/>
    </w:rPr>
  </w:style>
  <w:style w:type="character" w:customStyle="1" w:styleId="38">
    <w:name w:val="页脚 Char"/>
    <w:link w:val="22"/>
    <w:autoRedefine/>
    <w:qFormat/>
    <w:uiPriority w:val="0"/>
    <w:rPr>
      <w:rFonts w:ascii="Calibri" w:hAnsi="Calibri" w:eastAsia="宋体"/>
      <w:kern w:val="2"/>
      <w:sz w:val="18"/>
      <w:szCs w:val="18"/>
      <w:lang w:val="en-US" w:eastAsia="zh-CN" w:bidi="ar-SA"/>
    </w:rPr>
  </w:style>
  <w:style w:type="character" w:customStyle="1" w:styleId="39">
    <w:name w:val="标题 1 Char"/>
    <w:link w:val="5"/>
    <w:autoRedefine/>
    <w:qFormat/>
    <w:uiPriority w:val="0"/>
    <w:rPr>
      <w:b/>
      <w:bCs/>
      <w:i/>
      <w:iCs/>
      <w:kern w:val="2"/>
      <w:sz w:val="52"/>
    </w:rPr>
  </w:style>
  <w:style w:type="character" w:customStyle="1" w:styleId="40">
    <w:name w:val="Char Char8"/>
    <w:autoRedefine/>
    <w:qFormat/>
    <w:uiPriority w:val="0"/>
    <w:rPr>
      <w:rFonts w:ascii="宋体" w:hAnsi="Courier New" w:eastAsia="宋体"/>
      <w:kern w:val="2"/>
      <w:sz w:val="24"/>
      <w:szCs w:val="24"/>
      <w:lang w:val="en-US" w:eastAsia="zh-CN" w:bidi="ar-SA"/>
    </w:rPr>
  </w:style>
  <w:style w:type="character" w:customStyle="1" w:styleId="41">
    <w:name w:val="正文文本缩进 Char"/>
    <w:link w:val="3"/>
    <w:autoRedefine/>
    <w:qFormat/>
    <w:uiPriority w:val="0"/>
    <w:rPr>
      <w:kern w:val="2"/>
      <w:sz w:val="24"/>
      <w:szCs w:val="24"/>
    </w:rPr>
  </w:style>
  <w:style w:type="character" w:customStyle="1" w:styleId="42">
    <w:name w:val="页眉 Char"/>
    <w:link w:val="23"/>
    <w:autoRedefine/>
    <w:qFormat/>
    <w:uiPriority w:val="0"/>
    <w:rPr>
      <w:rFonts w:ascii="Calibri" w:hAnsi="Calibri" w:eastAsia="宋体"/>
      <w:kern w:val="2"/>
      <w:sz w:val="18"/>
      <w:szCs w:val="18"/>
      <w:lang w:val="en-US" w:eastAsia="zh-CN" w:bidi="ar-SA"/>
    </w:rPr>
  </w:style>
  <w:style w:type="paragraph" w:customStyle="1" w:styleId="43">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4">
    <w:name w:val="正文段"/>
    <w:basedOn w:val="1"/>
    <w:autoRedefine/>
    <w:qFormat/>
    <w:uiPriority w:val="0"/>
    <w:pPr>
      <w:widowControl/>
      <w:numPr>
        <w:ilvl w:val="0"/>
        <w:numId w:val="1"/>
      </w:numPr>
      <w:tabs>
        <w:tab w:val="clear" w:pos="1200"/>
      </w:tabs>
      <w:snapToGrid w:val="0"/>
      <w:spacing w:afterLines="50"/>
      <w:ind w:left="0" w:firstLine="200" w:firstLineChars="200"/>
    </w:pPr>
    <w:rPr>
      <w:kern w:val="0"/>
      <w:sz w:val="24"/>
      <w:szCs w:val="20"/>
    </w:rPr>
  </w:style>
  <w:style w:type="paragraph" w:customStyle="1" w:styleId="45">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46">
    <w:name w:val="默认段落字体 Para Char Char Char Char Char Char Char Char Char Char Char Char Char Char Char Char Char Char Char"/>
    <w:basedOn w:val="1"/>
    <w:autoRedefine/>
    <w:qFormat/>
    <w:uiPriority w:val="0"/>
    <w:rPr>
      <w:rFonts w:ascii="Tahoma" w:hAnsi="Tahoma"/>
      <w:sz w:val="24"/>
    </w:rPr>
  </w:style>
  <w:style w:type="paragraph" w:customStyle="1" w:styleId="47">
    <w:name w:val="Char Char Char Char Char Char Char Char Char Char Char Char1 Char"/>
    <w:basedOn w:val="10"/>
    <w:autoRedefine/>
    <w:qFormat/>
    <w:uiPriority w:val="0"/>
    <w:rPr>
      <w:rFonts w:ascii="Tahoma" w:hAnsi="Tahoma"/>
      <w:sz w:val="24"/>
    </w:rPr>
  </w:style>
  <w:style w:type="paragraph" w:customStyle="1" w:styleId="48">
    <w:name w:val="正文－恩普"/>
    <w:basedOn w:val="4"/>
    <w:autoRedefine/>
    <w:qFormat/>
    <w:uiPriority w:val="0"/>
    <w:pPr>
      <w:widowControl/>
      <w:spacing w:line="360" w:lineRule="auto"/>
      <w:ind w:firstLine="480" w:firstLineChars="200"/>
      <w:jc w:val="left"/>
    </w:pPr>
    <w:rPr>
      <w:kern w:val="0"/>
      <w:sz w:val="24"/>
    </w:rPr>
  </w:style>
  <w:style w:type="paragraph" w:customStyle="1" w:styleId="49">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0">
    <w:name w:val="WPS Plain"/>
    <w:autoRedefine/>
    <w:qFormat/>
    <w:uiPriority w:val="0"/>
    <w:rPr>
      <w:rFonts w:ascii="Times New Roman" w:hAnsi="Times New Roman" w:eastAsia="宋体" w:cs="Times New Roman"/>
      <w:lang w:val="en-US" w:eastAsia="zh-CN" w:bidi="ar-SA"/>
    </w:rPr>
  </w:style>
  <w:style w:type="paragraph" w:customStyle="1" w:styleId="51">
    <w:name w:val="Char Char Char Char Char Char Char"/>
    <w:basedOn w:val="1"/>
    <w:autoRedefine/>
    <w:qFormat/>
    <w:uiPriority w:val="0"/>
    <w:rPr>
      <w:rFonts w:ascii="Tahoma" w:hAnsi="Tahoma"/>
      <w:sz w:val="24"/>
      <w:szCs w:val="20"/>
    </w:rPr>
  </w:style>
  <w:style w:type="paragraph" w:customStyle="1" w:styleId="52">
    <w:name w:val="默认段落字体 Para Char Char Char Char Char Char Char Char Char1 Char Char Char Char"/>
    <w:basedOn w:val="1"/>
    <w:autoRedefine/>
    <w:qFormat/>
    <w:uiPriority w:val="0"/>
    <w:rPr>
      <w:rFonts w:ascii="Tahoma" w:hAnsi="Tahoma"/>
      <w:sz w:val="24"/>
      <w:szCs w:val="20"/>
    </w:rPr>
  </w:style>
  <w:style w:type="paragraph" w:customStyle="1" w:styleId="53">
    <w:name w:val="Char"/>
    <w:basedOn w:val="1"/>
    <w:autoRedefine/>
    <w:qFormat/>
    <w:uiPriority w:val="0"/>
    <w:rPr>
      <w:rFonts w:ascii="仿宋_GB2312" w:eastAsia="仿宋_GB2312"/>
      <w:b/>
      <w:sz w:val="32"/>
      <w:szCs w:val="32"/>
    </w:rPr>
  </w:style>
  <w:style w:type="paragraph" w:customStyle="1" w:styleId="54">
    <w:name w:val="Char1"/>
    <w:basedOn w:val="1"/>
    <w:autoRedefine/>
    <w:qFormat/>
    <w:uiPriority w:val="0"/>
    <w:rPr>
      <w:rFonts w:ascii="仿宋_GB2312" w:eastAsia="仿宋_GB2312"/>
      <w:b/>
      <w:sz w:val="32"/>
      <w:szCs w:val="32"/>
    </w:rPr>
  </w:style>
  <w:style w:type="character" w:customStyle="1" w:styleId="55">
    <w:name w:val="批注文字 Char"/>
    <w:link w:val="11"/>
    <w:autoRedefine/>
    <w:qFormat/>
    <w:uiPriority w:val="99"/>
    <w:rPr>
      <w:kern w:val="2"/>
      <w:sz w:val="21"/>
      <w:szCs w:val="24"/>
    </w:rPr>
  </w:style>
  <w:style w:type="character" w:customStyle="1" w:styleId="56">
    <w:name w:val="批注主题 Char"/>
    <w:link w:val="31"/>
    <w:autoRedefine/>
    <w:semiHidden/>
    <w:qFormat/>
    <w:uiPriority w:val="99"/>
    <w:rPr>
      <w:b/>
      <w:bCs/>
      <w:kern w:val="2"/>
      <w:sz w:val="21"/>
      <w:szCs w:val="24"/>
    </w:rPr>
  </w:style>
  <w:style w:type="paragraph" w:styleId="57">
    <w:name w:val="List Paragraph"/>
    <w:basedOn w:val="1"/>
    <w:autoRedefine/>
    <w:qFormat/>
    <w:uiPriority w:val="34"/>
    <w:pPr>
      <w:ind w:firstLine="420" w:firstLineChars="200"/>
    </w:pPr>
  </w:style>
  <w:style w:type="paragraph" w:customStyle="1" w:styleId="58">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font11"/>
    <w:basedOn w:val="33"/>
    <w:autoRedefine/>
    <w:qFormat/>
    <w:uiPriority w:val="0"/>
    <w:rPr>
      <w:rFonts w:hint="eastAsia" w:ascii="宋体" w:hAnsi="宋体" w:eastAsia="宋体" w:cs="宋体"/>
      <w:color w:val="000000"/>
      <w:sz w:val="21"/>
      <w:szCs w:val="21"/>
      <w:u w:val="none"/>
    </w:rPr>
  </w:style>
  <w:style w:type="character" w:customStyle="1" w:styleId="60">
    <w:name w:val="font21"/>
    <w:basedOn w:val="33"/>
    <w:autoRedefine/>
    <w:qFormat/>
    <w:uiPriority w:val="0"/>
    <w:rPr>
      <w:rFonts w:hint="eastAsia" w:ascii="宋体" w:hAnsi="宋体" w:eastAsia="宋体" w:cs="宋体"/>
      <w:color w:val="000000"/>
      <w:sz w:val="20"/>
      <w:szCs w:val="20"/>
      <w:u w:val="none"/>
    </w:rPr>
  </w:style>
  <w:style w:type="character" w:customStyle="1" w:styleId="61">
    <w:name w:val="font41"/>
    <w:basedOn w:val="3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41</Pages>
  <Words>17286</Words>
  <Characters>2431</Characters>
  <Lines>20</Lines>
  <Paragraphs>39</Paragraphs>
  <TotalTime>49</TotalTime>
  <ScaleCrop>false</ScaleCrop>
  <LinksUpToDate>false</LinksUpToDate>
  <CharactersWithSpaces>19678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2022-06-14T15:39:00Z</dcterms:created>
  <dc:creator>Lenovo User</dc:creator>
  <cp:lastModifiedBy>守株待兔</cp:lastModifiedBy>
  <cp:lastPrinted>2023-11-06T07:27:00Z</cp:lastPrinted>
  <dcterms:modified xsi:type="dcterms:W3CDTF">2026-06-26T08:37:37Z</dcterms:modified>
  <dc:title>公开招标采购文件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60E50A768CC32B9C680CD364C78B0572</vt:lpwstr>
  </property>
</Properties>
</file>